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344" w:rsidRPr="000E6946" w:rsidRDefault="00707344">
      <w:pPr>
        <w:rPr>
          <w:rFonts w:cstheme="minorHAnsi"/>
          <w:color w:val="000000" w:themeColor="text1"/>
        </w:rPr>
      </w:pPr>
    </w:p>
    <w:p w:rsidR="000E6946" w:rsidRPr="000E6946" w:rsidRDefault="000E6946" w:rsidP="000E6946">
      <w:pPr>
        <w:jc w:val="center"/>
        <w:rPr>
          <w:rFonts w:cstheme="minorHAnsi"/>
          <w:b/>
          <w:color w:val="000000" w:themeColor="text1"/>
          <w:sz w:val="28"/>
          <w:szCs w:val="28"/>
        </w:rPr>
      </w:pPr>
      <w:r w:rsidRPr="000E6946">
        <w:rPr>
          <w:rFonts w:cstheme="minorHAnsi"/>
          <w:b/>
          <w:color w:val="000000" w:themeColor="text1"/>
          <w:sz w:val="28"/>
          <w:szCs w:val="28"/>
        </w:rPr>
        <w:t>Consolidated Appropriations Act: Employee Benefits Provision</w:t>
      </w:r>
      <w:r w:rsidR="005E6A76">
        <w:rPr>
          <w:rFonts w:cstheme="minorHAnsi"/>
          <w:b/>
          <w:color w:val="000000" w:themeColor="text1"/>
          <w:sz w:val="28"/>
          <w:szCs w:val="28"/>
        </w:rPr>
        <w:t>s Summary</w:t>
      </w:r>
    </w:p>
    <w:p w:rsidR="000E6946" w:rsidRPr="000E6946" w:rsidRDefault="000E6946">
      <w:pPr>
        <w:rPr>
          <w:rFonts w:cstheme="minorHAnsi"/>
          <w:color w:val="000000" w:themeColor="text1"/>
        </w:rPr>
      </w:pPr>
    </w:p>
    <w:p w:rsidR="000E6946" w:rsidRPr="000E6946" w:rsidRDefault="000E6946" w:rsidP="000E6946">
      <w:pPr>
        <w:shd w:val="clear" w:color="auto" w:fill="FFFFFF"/>
        <w:spacing w:after="0" w:line="240" w:lineRule="auto"/>
        <w:textAlignment w:val="baseline"/>
        <w:outlineLvl w:val="1"/>
        <w:rPr>
          <w:rFonts w:eastAsia="Times New Roman" w:cstheme="minorHAnsi"/>
          <w:b/>
          <w:bCs/>
          <w:color w:val="000000" w:themeColor="text1"/>
        </w:rPr>
      </w:pPr>
      <w:r w:rsidRPr="000E6946">
        <w:rPr>
          <w:rFonts w:eastAsia="Times New Roman" w:cstheme="minorHAnsi"/>
          <w:b/>
          <w:bCs/>
          <w:color w:val="000000" w:themeColor="text1"/>
          <w:bdr w:val="none" w:sz="0" w:space="0" w:color="auto" w:frame="1"/>
        </w:rPr>
        <w:t>No Surprises Act</w:t>
      </w:r>
    </w:p>
    <w:p w:rsidR="000E6946" w:rsidRPr="000E6946" w:rsidRDefault="005E6A76" w:rsidP="000E6946">
      <w:pPr>
        <w:shd w:val="clear" w:color="auto" w:fill="FFFFFF"/>
        <w:spacing w:after="0" w:line="240" w:lineRule="auto"/>
        <w:textAlignment w:val="baseline"/>
        <w:rPr>
          <w:rFonts w:eastAsia="Times New Roman" w:cstheme="minorHAnsi"/>
          <w:color w:val="000000" w:themeColor="text1"/>
        </w:rPr>
      </w:pPr>
      <w:r>
        <w:rPr>
          <w:rFonts w:eastAsia="Times New Roman" w:cstheme="minorHAnsi"/>
          <w:color w:val="000000" w:themeColor="text1"/>
        </w:rPr>
        <w:t xml:space="preserve">Effective </w:t>
      </w:r>
      <w:r w:rsidRPr="000E6946">
        <w:rPr>
          <w:rFonts w:eastAsia="Times New Roman" w:cstheme="minorHAnsi"/>
          <w:color w:val="000000" w:themeColor="text1"/>
        </w:rPr>
        <w:t>January</w:t>
      </w:r>
      <w:r w:rsidR="000E6946" w:rsidRPr="000E6946">
        <w:rPr>
          <w:rFonts w:eastAsia="Times New Roman" w:cstheme="minorHAnsi"/>
          <w:color w:val="000000" w:themeColor="text1"/>
        </w:rPr>
        <w:t xml:space="preserve"> 1, 2022. Protects against balance-billing and out-of-network cost sharing for ER services, non-emergency services by out-of-network providers at in-network facilities, and out-of-network air ambulance providers.</w:t>
      </w:r>
      <w:r>
        <w:rPr>
          <w:rFonts w:eastAsia="Times New Roman" w:cstheme="minorHAnsi"/>
          <w:color w:val="000000" w:themeColor="text1"/>
        </w:rPr>
        <w:t xml:space="preserve"> Examples includes anesthesia, ER physicians, ambulance. </w:t>
      </w:r>
    </w:p>
    <w:p w:rsidR="000E6946" w:rsidRPr="000E6946" w:rsidRDefault="000E6946" w:rsidP="000E6946">
      <w:pPr>
        <w:shd w:val="clear" w:color="auto" w:fill="FFFFFF"/>
        <w:spacing w:after="0" w:line="240" w:lineRule="auto"/>
        <w:textAlignment w:val="baseline"/>
        <w:rPr>
          <w:rFonts w:eastAsia="Times New Roman" w:cstheme="minorHAnsi"/>
          <w:color w:val="000000" w:themeColor="text1"/>
        </w:rPr>
      </w:pPr>
    </w:p>
    <w:p w:rsidR="000E6946" w:rsidRPr="000E6946" w:rsidRDefault="000E6946" w:rsidP="000E6946">
      <w:pPr>
        <w:shd w:val="clear" w:color="auto" w:fill="FFFFFF"/>
        <w:spacing w:after="0" w:line="312" w:lineRule="atLeast"/>
        <w:textAlignment w:val="baseline"/>
        <w:outlineLvl w:val="2"/>
        <w:rPr>
          <w:rFonts w:eastAsia="Times New Roman" w:cstheme="minorHAnsi"/>
          <w:b/>
          <w:bCs/>
          <w:caps/>
          <w:color w:val="000000" w:themeColor="text1"/>
        </w:rPr>
      </w:pPr>
      <w:r w:rsidRPr="000E6946">
        <w:rPr>
          <w:rFonts w:eastAsia="Times New Roman" w:cstheme="minorHAnsi"/>
          <w:b/>
          <w:bCs/>
          <w:caps/>
          <w:color w:val="000000" w:themeColor="text1"/>
          <w:bdr w:val="none" w:sz="0" w:space="0" w:color="auto" w:frame="1"/>
        </w:rPr>
        <w:t>REMOVAL OF GAG CLAUSES</w:t>
      </w:r>
    </w:p>
    <w:p w:rsidR="000E6946" w:rsidRDefault="005E6A76" w:rsidP="000E6946">
      <w:pPr>
        <w:shd w:val="clear" w:color="auto" w:fill="FFFFFF"/>
        <w:spacing w:after="0" w:line="360" w:lineRule="atLeast"/>
        <w:textAlignment w:val="baseline"/>
        <w:rPr>
          <w:rFonts w:eastAsia="Times New Roman" w:cstheme="minorHAnsi"/>
          <w:color w:val="000000" w:themeColor="text1"/>
        </w:rPr>
      </w:pPr>
      <w:r>
        <w:rPr>
          <w:rFonts w:eastAsia="Times New Roman" w:cstheme="minorHAnsi"/>
          <w:color w:val="000000" w:themeColor="text1"/>
        </w:rPr>
        <w:t xml:space="preserve">Effective </w:t>
      </w:r>
      <w:r w:rsidRPr="000E6946">
        <w:rPr>
          <w:rFonts w:eastAsia="Times New Roman" w:cstheme="minorHAnsi"/>
          <w:color w:val="000000" w:themeColor="text1"/>
        </w:rPr>
        <w:t xml:space="preserve">January 1, 2022. </w:t>
      </w:r>
      <w:r w:rsidR="000E6946" w:rsidRPr="000E6946">
        <w:rPr>
          <w:rFonts w:eastAsia="Times New Roman" w:cstheme="minorHAnsi"/>
          <w:color w:val="000000" w:themeColor="text1"/>
        </w:rPr>
        <w:t>Employer health plans cannot enter into agreements restricting the disclosure of certain information relating to cost and quality. Plans must submit to an annual “attestation” to show they are compliant with the requirements.</w:t>
      </w:r>
    </w:p>
    <w:p w:rsidR="000E6946" w:rsidRPr="000E6946" w:rsidRDefault="000E6946" w:rsidP="000E6946">
      <w:pPr>
        <w:shd w:val="clear" w:color="auto" w:fill="FFFFFF"/>
        <w:spacing w:after="0" w:line="360" w:lineRule="atLeast"/>
        <w:textAlignment w:val="baseline"/>
        <w:rPr>
          <w:rFonts w:eastAsia="Times New Roman" w:cstheme="minorHAnsi"/>
          <w:color w:val="000000" w:themeColor="text1"/>
        </w:rPr>
      </w:pPr>
    </w:p>
    <w:p w:rsidR="000E6946" w:rsidRPr="000E6946" w:rsidRDefault="000E6946" w:rsidP="000E6946">
      <w:pPr>
        <w:shd w:val="clear" w:color="auto" w:fill="FFFFFF"/>
        <w:spacing w:after="0" w:line="312" w:lineRule="atLeast"/>
        <w:textAlignment w:val="baseline"/>
        <w:outlineLvl w:val="2"/>
        <w:rPr>
          <w:rFonts w:eastAsia="Times New Roman" w:cstheme="minorHAnsi"/>
          <w:b/>
          <w:bCs/>
          <w:caps/>
          <w:color w:val="000000" w:themeColor="text1"/>
        </w:rPr>
      </w:pPr>
      <w:r w:rsidRPr="000E6946">
        <w:rPr>
          <w:rFonts w:eastAsia="Times New Roman" w:cstheme="minorHAnsi"/>
          <w:b/>
          <w:bCs/>
          <w:caps/>
          <w:color w:val="000000" w:themeColor="text1"/>
          <w:bdr w:val="none" w:sz="0" w:space="0" w:color="auto" w:frame="1"/>
        </w:rPr>
        <w:t>BROKER AND CONSULTANT COMPENSATION DISCLOSURE</w:t>
      </w:r>
    </w:p>
    <w:p w:rsidR="000E6946" w:rsidRDefault="000E6946" w:rsidP="000E6946">
      <w:pPr>
        <w:shd w:val="clear" w:color="auto" w:fill="FFFFFF"/>
        <w:spacing w:after="0" w:line="360" w:lineRule="atLeast"/>
        <w:textAlignment w:val="baseline"/>
        <w:rPr>
          <w:rFonts w:eastAsia="Times New Roman" w:cstheme="minorHAnsi"/>
          <w:color w:val="000000" w:themeColor="text1"/>
        </w:rPr>
      </w:pPr>
      <w:r w:rsidRPr="000E6946">
        <w:rPr>
          <w:rFonts w:eastAsia="Times New Roman" w:cstheme="minorHAnsi"/>
          <w:iCs/>
          <w:color w:val="000000" w:themeColor="text1"/>
          <w:bdr w:val="none" w:sz="0" w:space="0" w:color="auto" w:frame="1"/>
        </w:rPr>
        <w:t>Effective December 27, 2021</w:t>
      </w:r>
      <w:r>
        <w:rPr>
          <w:rFonts w:eastAsia="Times New Roman" w:cstheme="minorHAnsi"/>
          <w:color w:val="000000" w:themeColor="text1"/>
        </w:rPr>
        <w:t xml:space="preserve">. </w:t>
      </w:r>
      <w:r w:rsidRPr="000E6946">
        <w:rPr>
          <w:rFonts w:eastAsia="Times New Roman" w:cstheme="minorHAnsi"/>
          <w:color w:val="000000" w:themeColor="text1"/>
        </w:rPr>
        <w:t xml:space="preserve">Brokers and consultants must disclose certain compensation they receive for consulting and brokerage services if the amount exceeds $1,000. They must also disclose indirect compensation such as commissions. If there is an error within the disclosure, they must correct it within 30 days. </w:t>
      </w:r>
      <w:r w:rsidR="005E6A76">
        <w:rPr>
          <w:rFonts w:eastAsia="Times New Roman" w:cstheme="minorHAnsi"/>
          <w:color w:val="000000" w:themeColor="text1"/>
        </w:rPr>
        <w:t xml:space="preserve">ERISA violation if not completed. </w:t>
      </w:r>
    </w:p>
    <w:p w:rsidR="00752794" w:rsidRDefault="00752794" w:rsidP="000E6946">
      <w:pPr>
        <w:shd w:val="clear" w:color="auto" w:fill="FFFFFF"/>
        <w:spacing w:after="0" w:line="312" w:lineRule="atLeast"/>
        <w:textAlignment w:val="baseline"/>
        <w:outlineLvl w:val="2"/>
        <w:rPr>
          <w:rFonts w:eastAsia="Times New Roman" w:cstheme="minorHAnsi"/>
          <w:b/>
          <w:bCs/>
          <w:caps/>
          <w:color w:val="000000" w:themeColor="text1"/>
          <w:bdr w:val="none" w:sz="0" w:space="0" w:color="auto" w:frame="1"/>
        </w:rPr>
      </w:pPr>
    </w:p>
    <w:p w:rsidR="000E6946" w:rsidRPr="000E6946" w:rsidRDefault="00752794" w:rsidP="000E6946">
      <w:pPr>
        <w:shd w:val="clear" w:color="auto" w:fill="FFFFFF"/>
        <w:spacing w:after="0" w:line="312" w:lineRule="atLeast"/>
        <w:textAlignment w:val="baseline"/>
        <w:outlineLvl w:val="2"/>
        <w:rPr>
          <w:rFonts w:eastAsia="Times New Roman" w:cstheme="minorHAnsi"/>
          <w:b/>
          <w:bCs/>
          <w:caps/>
          <w:color w:val="000000" w:themeColor="text1"/>
        </w:rPr>
      </w:pPr>
      <w:r>
        <w:rPr>
          <w:rFonts w:eastAsia="Times New Roman" w:cstheme="minorHAnsi"/>
          <w:b/>
          <w:bCs/>
          <w:caps/>
          <w:color w:val="000000" w:themeColor="text1"/>
          <w:bdr w:val="none" w:sz="0" w:space="0" w:color="auto" w:frame="1"/>
        </w:rPr>
        <w:t xml:space="preserve">Prescription Drug- </w:t>
      </w:r>
      <w:r w:rsidR="000E6946" w:rsidRPr="000E6946">
        <w:rPr>
          <w:rFonts w:eastAsia="Times New Roman" w:cstheme="minorHAnsi"/>
          <w:b/>
          <w:bCs/>
          <w:caps/>
          <w:color w:val="000000" w:themeColor="text1"/>
          <w:bdr w:val="none" w:sz="0" w:space="0" w:color="auto" w:frame="1"/>
        </w:rPr>
        <w:t>COST REPORTING</w:t>
      </w:r>
    </w:p>
    <w:p w:rsidR="000E6946" w:rsidRDefault="000E6946" w:rsidP="000E6946">
      <w:pPr>
        <w:shd w:val="clear" w:color="auto" w:fill="FFFFFF"/>
        <w:spacing w:after="0" w:line="360" w:lineRule="atLeast"/>
        <w:textAlignment w:val="baseline"/>
        <w:rPr>
          <w:rFonts w:eastAsia="Times New Roman" w:cstheme="minorHAnsi"/>
          <w:color w:val="000000" w:themeColor="text1"/>
        </w:rPr>
      </w:pPr>
      <w:r>
        <w:rPr>
          <w:rFonts w:eastAsia="Times New Roman" w:cstheme="minorHAnsi"/>
          <w:iCs/>
          <w:color w:val="000000" w:themeColor="text1"/>
          <w:bdr w:val="none" w:sz="0" w:space="0" w:color="auto" w:frame="1"/>
        </w:rPr>
        <w:t xml:space="preserve">Effective </w:t>
      </w:r>
      <w:r w:rsidRPr="000E6946">
        <w:rPr>
          <w:rFonts w:eastAsia="Times New Roman" w:cstheme="minorHAnsi"/>
          <w:iCs/>
          <w:color w:val="000000" w:themeColor="text1"/>
          <w:bdr w:val="none" w:sz="0" w:space="0" w:color="auto" w:frame="1"/>
        </w:rPr>
        <w:t>December 27, 2022 per HHS</w:t>
      </w:r>
      <w:r>
        <w:rPr>
          <w:rFonts w:eastAsia="Times New Roman" w:cstheme="minorHAnsi"/>
          <w:iCs/>
          <w:color w:val="000000" w:themeColor="text1"/>
          <w:bdr w:val="none" w:sz="0" w:space="0" w:color="auto" w:frame="1"/>
        </w:rPr>
        <w:t xml:space="preserve"> </w:t>
      </w:r>
      <w:r w:rsidRPr="000E6946">
        <w:rPr>
          <w:rFonts w:eastAsia="Times New Roman" w:cstheme="minorHAnsi"/>
          <w:iCs/>
          <w:color w:val="000000" w:themeColor="text1"/>
          <w:bdr w:val="none" w:sz="0" w:space="0" w:color="auto" w:frame="1"/>
        </w:rPr>
        <w:t>(Previously Effective December 27, 2021.)</w:t>
      </w:r>
      <w:r w:rsidR="00E80AAD">
        <w:rPr>
          <w:rFonts w:eastAsia="Times New Roman" w:cstheme="minorHAnsi"/>
          <w:color w:val="000000" w:themeColor="text1"/>
        </w:rPr>
        <w:t xml:space="preserve"> </w:t>
      </w:r>
      <w:r w:rsidRPr="000E6946">
        <w:rPr>
          <w:rFonts w:eastAsia="Times New Roman" w:cstheme="minorHAnsi"/>
          <w:color w:val="000000" w:themeColor="text1"/>
        </w:rPr>
        <w:t xml:space="preserve">Employer health plans must </w:t>
      </w:r>
      <w:r w:rsidR="00E80AAD">
        <w:rPr>
          <w:rFonts w:eastAsia="Times New Roman" w:cstheme="minorHAnsi"/>
          <w:color w:val="000000" w:themeColor="text1"/>
        </w:rPr>
        <w:t xml:space="preserve">submit claims and pricing information to the Federal Government (CMS, HHS and DOL) annually. Data sets include, </w:t>
      </w:r>
      <w:proofErr w:type="spellStart"/>
      <w:r w:rsidR="00E80AAD">
        <w:rPr>
          <w:rFonts w:eastAsia="Times New Roman" w:cstheme="minorHAnsi"/>
          <w:color w:val="000000" w:themeColor="text1"/>
        </w:rPr>
        <w:t>nut</w:t>
      </w:r>
      <w:proofErr w:type="spellEnd"/>
      <w:r w:rsidR="00E80AAD">
        <w:rPr>
          <w:rFonts w:eastAsia="Times New Roman" w:cstheme="minorHAnsi"/>
          <w:color w:val="000000" w:themeColor="text1"/>
        </w:rPr>
        <w:t xml:space="preserve"> not limited to: Top 50 meds by cost, utilization, by branded and specialty distinction, premiums, </w:t>
      </w:r>
      <w:proofErr w:type="spellStart"/>
      <w:r w:rsidR="00E80AAD">
        <w:rPr>
          <w:rFonts w:eastAsia="Times New Roman" w:cstheme="minorHAnsi"/>
          <w:color w:val="000000" w:themeColor="text1"/>
        </w:rPr>
        <w:t>etc</w:t>
      </w:r>
      <w:proofErr w:type="spellEnd"/>
      <w:r w:rsidR="00E80AAD">
        <w:rPr>
          <w:rFonts w:eastAsia="Times New Roman" w:cstheme="minorHAnsi"/>
          <w:color w:val="000000" w:themeColor="text1"/>
        </w:rPr>
        <w:t>… Info is reported on a calendar year basis. 1</w:t>
      </w:r>
      <w:r w:rsidR="00E80AAD" w:rsidRPr="00E80AAD">
        <w:rPr>
          <w:rFonts w:eastAsia="Times New Roman" w:cstheme="minorHAnsi"/>
          <w:color w:val="000000" w:themeColor="text1"/>
          <w:vertAlign w:val="superscript"/>
        </w:rPr>
        <w:t>st</w:t>
      </w:r>
      <w:r w:rsidR="00E80AAD">
        <w:rPr>
          <w:rFonts w:eastAsia="Times New Roman" w:cstheme="minorHAnsi"/>
          <w:color w:val="000000" w:themeColor="text1"/>
        </w:rPr>
        <w:t xml:space="preserve"> reporting </w:t>
      </w:r>
      <w:r w:rsidR="004E69FC">
        <w:rPr>
          <w:rFonts w:eastAsia="Times New Roman" w:cstheme="minorHAnsi"/>
          <w:color w:val="000000" w:themeColor="text1"/>
        </w:rPr>
        <w:t>includes 2020 and 2021 reporting periods.  2022 is due June 1</w:t>
      </w:r>
      <w:r w:rsidR="004E69FC" w:rsidRPr="004E69FC">
        <w:rPr>
          <w:rFonts w:eastAsia="Times New Roman" w:cstheme="minorHAnsi"/>
          <w:color w:val="000000" w:themeColor="text1"/>
          <w:vertAlign w:val="superscript"/>
        </w:rPr>
        <w:t>st</w:t>
      </w:r>
      <w:r w:rsidR="004E69FC">
        <w:rPr>
          <w:rFonts w:eastAsia="Times New Roman" w:cstheme="minorHAnsi"/>
          <w:color w:val="000000" w:themeColor="text1"/>
        </w:rPr>
        <w:t xml:space="preserve">, 2023 and then June ongoing annually. </w:t>
      </w:r>
    </w:p>
    <w:p w:rsidR="004E69FC" w:rsidRDefault="004E69FC" w:rsidP="000E6946">
      <w:pPr>
        <w:shd w:val="clear" w:color="auto" w:fill="FFFFFF"/>
        <w:spacing w:after="0" w:line="360" w:lineRule="atLeast"/>
        <w:textAlignment w:val="baseline"/>
        <w:rPr>
          <w:rFonts w:eastAsia="Times New Roman" w:cstheme="minorHAnsi"/>
          <w:color w:val="000000" w:themeColor="text1"/>
        </w:rPr>
      </w:pPr>
    </w:p>
    <w:p w:rsidR="004E69FC" w:rsidRDefault="004E69FC" w:rsidP="000E6946">
      <w:pPr>
        <w:shd w:val="clear" w:color="auto" w:fill="FFFFFF"/>
        <w:spacing w:after="0" w:line="360" w:lineRule="atLeast"/>
        <w:textAlignment w:val="baseline"/>
        <w:rPr>
          <w:rFonts w:eastAsia="Times New Roman" w:cstheme="minorHAnsi"/>
          <w:b/>
          <w:color w:val="000000" w:themeColor="text1"/>
        </w:rPr>
      </w:pPr>
      <w:r>
        <w:rPr>
          <w:rFonts w:eastAsia="Times New Roman" w:cstheme="minorHAnsi"/>
          <w:b/>
          <w:color w:val="000000" w:themeColor="text1"/>
        </w:rPr>
        <w:t>MACHINE READABLE FILES</w:t>
      </w:r>
    </w:p>
    <w:p w:rsidR="004E69FC" w:rsidRPr="0071730D" w:rsidRDefault="0071730D" w:rsidP="000E6946">
      <w:pPr>
        <w:shd w:val="clear" w:color="auto" w:fill="FFFFFF"/>
        <w:spacing w:after="0" w:line="360" w:lineRule="atLeast"/>
        <w:textAlignment w:val="baseline"/>
        <w:rPr>
          <w:rFonts w:eastAsia="Times New Roman" w:cstheme="minorHAnsi"/>
          <w:color w:val="000000" w:themeColor="text1"/>
        </w:rPr>
      </w:pPr>
      <w:r>
        <w:rPr>
          <w:rFonts w:eastAsia="Times New Roman" w:cstheme="minorHAnsi"/>
          <w:color w:val="000000" w:themeColor="text1"/>
        </w:rPr>
        <w:t xml:space="preserve">Effective July 1, 2022. Insurers and health plans must publicly post specific machine-readable files. Files must include items including, but not limited to: negotiated rates, underlying fee schedules, billed amts vs allowed amts, and historical pricing for prescription drugs. These are not member-friendly tools, but will phase into more member-friendly access in 2023 and 2024. </w:t>
      </w:r>
    </w:p>
    <w:p w:rsidR="000E6946" w:rsidRPr="000E6946" w:rsidRDefault="000E6946" w:rsidP="000E6946">
      <w:pPr>
        <w:shd w:val="clear" w:color="auto" w:fill="FFFFFF"/>
        <w:spacing w:after="0" w:line="360" w:lineRule="atLeast"/>
        <w:textAlignment w:val="baseline"/>
        <w:rPr>
          <w:rFonts w:eastAsia="Times New Roman" w:cstheme="minorHAnsi"/>
          <w:color w:val="000000" w:themeColor="text1"/>
        </w:rPr>
      </w:pPr>
    </w:p>
    <w:p w:rsidR="000E6946" w:rsidRPr="000E6946" w:rsidRDefault="000E6946" w:rsidP="000E6946">
      <w:pPr>
        <w:shd w:val="clear" w:color="auto" w:fill="FFFFFF"/>
        <w:spacing w:after="0" w:line="312" w:lineRule="atLeast"/>
        <w:textAlignment w:val="baseline"/>
        <w:outlineLvl w:val="2"/>
        <w:rPr>
          <w:rFonts w:eastAsia="Times New Roman" w:cstheme="minorHAnsi"/>
          <w:b/>
          <w:bCs/>
          <w:caps/>
          <w:color w:val="000000" w:themeColor="text1"/>
        </w:rPr>
      </w:pPr>
      <w:r w:rsidRPr="000E6946">
        <w:rPr>
          <w:rFonts w:eastAsia="Times New Roman" w:cstheme="minorHAnsi"/>
          <w:b/>
          <w:bCs/>
          <w:caps/>
          <w:color w:val="000000" w:themeColor="text1"/>
          <w:bdr w:val="none" w:sz="0" w:space="0" w:color="auto" w:frame="1"/>
        </w:rPr>
        <w:t>MENTAL HEALTH PARITY AND ADDICTION EQUITY ACT (MHPAEA) COMPARATIVE ANALYSIS</w:t>
      </w:r>
    </w:p>
    <w:p w:rsidR="000E6946" w:rsidRDefault="000E6946" w:rsidP="000E6946">
      <w:pPr>
        <w:shd w:val="clear" w:color="auto" w:fill="FFFFFF"/>
        <w:spacing w:after="0" w:line="360" w:lineRule="atLeast"/>
        <w:textAlignment w:val="baseline"/>
        <w:rPr>
          <w:rFonts w:eastAsia="Times New Roman" w:cstheme="minorHAnsi"/>
          <w:color w:val="000000" w:themeColor="text1"/>
        </w:rPr>
      </w:pPr>
      <w:r w:rsidRPr="000E6946">
        <w:rPr>
          <w:rFonts w:eastAsia="Times New Roman" w:cstheme="minorHAnsi"/>
          <w:iCs/>
          <w:color w:val="000000" w:themeColor="text1"/>
          <w:bdr w:val="none" w:sz="0" w:space="0" w:color="auto" w:frame="1"/>
        </w:rPr>
        <w:t>Effective February 10, 2021</w:t>
      </w:r>
      <w:r w:rsidR="005E6A76">
        <w:rPr>
          <w:rFonts w:eastAsia="Times New Roman" w:cstheme="minorHAnsi"/>
          <w:color w:val="000000" w:themeColor="text1"/>
        </w:rPr>
        <w:t xml:space="preserve">. </w:t>
      </w:r>
      <w:r w:rsidRPr="000E6946">
        <w:rPr>
          <w:rFonts w:eastAsia="Times New Roman" w:cstheme="minorHAnsi"/>
          <w:color w:val="000000" w:themeColor="text1"/>
        </w:rPr>
        <w:t>Employer health plans must prepare and provide a written analysis of how the plan complies with </w:t>
      </w:r>
      <w:hyperlink r:id="rId5" w:history="1">
        <w:r w:rsidRPr="000E6946">
          <w:rPr>
            <w:rFonts w:eastAsia="Times New Roman" w:cstheme="minorHAnsi"/>
            <w:bCs/>
            <w:color w:val="000000" w:themeColor="text1"/>
            <w:bdr w:val="none" w:sz="0" w:space="0" w:color="auto" w:frame="1"/>
          </w:rPr>
          <w:t>MHPAEA’s rules</w:t>
        </w:r>
      </w:hyperlink>
      <w:r w:rsidRPr="000E6946">
        <w:rPr>
          <w:rFonts w:eastAsia="Times New Roman" w:cstheme="minorHAnsi"/>
          <w:color w:val="000000" w:themeColor="text1"/>
        </w:rPr>
        <w:t> on </w:t>
      </w:r>
      <w:hyperlink r:id="rId6" w:history="1">
        <w:r w:rsidRPr="000E6946">
          <w:rPr>
            <w:rFonts w:eastAsia="Times New Roman" w:cstheme="minorHAnsi"/>
            <w:bCs/>
            <w:color w:val="000000" w:themeColor="text1"/>
            <w:bdr w:val="none" w:sz="0" w:space="0" w:color="auto" w:frame="1"/>
          </w:rPr>
          <w:t>nonquantitative treatment limitations</w:t>
        </w:r>
      </w:hyperlink>
      <w:r w:rsidRPr="000E6946">
        <w:rPr>
          <w:rFonts w:eastAsia="Times New Roman" w:cstheme="minorHAnsi"/>
          <w:color w:val="000000" w:themeColor="text1"/>
        </w:rPr>
        <w:t xml:space="preserve"> (NQTLs) upon request. </w:t>
      </w:r>
      <w:r w:rsidRPr="000E6946">
        <w:rPr>
          <w:rFonts w:eastAsia="Times New Roman" w:cstheme="minorHAnsi"/>
          <w:color w:val="000000" w:themeColor="text1"/>
        </w:rPr>
        <w:lastRenderedPageBreak/>
        <w:t>This includes entities such as Department of Labor (DOL), Health and Human Services (HHS), or certain state agencies.</w:t>
      </w:r>
      <w:r w:rsidR="005E6A76">
        <w:rPr>
          <w:rFonts w:eastAsia="Times New Roman" w:cstheme="minorHAnsi"/>
          <w:color w:val="000000" w:themeColor="text1"/>
        </w:rPr>
        <w:t xml:space="preserve"> </w:t>
      </w:r>
    </w:p>
    <w:p w:rsidR="000E6946" w:rsidRPr="000E6946" w:rsidRDefault="000E6946" w:rsidP="000E6946">
      <w:pPr>
        <w:shd w:val="clear" w:color="auto" w:fill="FFFFFF"/>
        <w:spacing w:after="0" w:line="360" w:lineRule="atLeast"/>
        <w:textAlignment w:val="baseline"/>
        <w:rPr>
          <w:rFonts w:eastAsia="Times New Roman" w:cstheme="minorHAnsi"/>
          <w:color w:val="000000" w:themeColor="text1"/>
        </w:rPr>
      </w:pPr>
    </w:p>
    <w:p w:rsidR="000E6946" w:rsidRPr="000E6946" w:rsidRDefault="000E6946" w:rsidP="000E6946">
      <w:pPr>
        <w:shd w:val="clear" w:color="auto" w:fill="FFFFFF"/>
        <w:spacing w:after="0" w:line="312" w:lineRule="atLeast"/>
        <w:textAlignment w:val="baseline"/>
        <w:outlineLvl w:val="2"/>
        <w:rPr>
          <w:rFonts w:eastAsia="Times New Roman" w:cstheme="minorHAnsi"/>
          <w:b/>
          <w:bCs/>
          <w:caps/>
          <w:color w:val="000000" w:themeColor="text1"/>
        </w:rPr>
      </w:pPr>
      <w:r w:rsidRPr="000E6946">
        <w:rPr>
          <w:rFonts w:eastAsia="Times New Roman" w:cstheme="minorHAnsi"/>
          <w:b/>
          <w:bCs/>
          <w:caps/>
          <w:color w:val="000000" w:themeColor="text1"/>
          <w:bdr w:val="none" w:sz="0" w:space="0" w:color="auto" w:frame="1"/>
        </w:rPr>
        <w:t>SURPRISE BILLING</w:t>
      </w:r>
    </w:p>
    <w:p w:rsidR="000E6946" w:rsidRDefault="000E6946" w:rsidP="000E6946">
      <w:pPr>
        <w:shd w:val="clear" w:color="auto" w:fill="FFFFFF"/>
        <w:spacing w:after="0" w:line="360" w:lineRule="atLeast"/>
        <w:textAlignment w:val="baseline"/>
        <w:rPr>
          <w:rFonts w:eastAsia="Times New Roman" w:cstheme="minorHAnsi"/>
          <w:color w:val="000000" w:themeColor="text1"/>
        </w:rPr>
      </w:pPr>
      <w:r w:rsidRPr="000E6946">
        <w:rPr>
          <w:rFonts w:eastAsia="Times New Roman" w:cstheme="minorHAnsi"/>
          <w:iCs/>
          <w:color w:val="000000" w:themeColor="text1"/>
          <w:bdr w:val="none" w:sz="0" w:space="0" w:color="auto" w:frame="1"/>
        </w:rPr>
        <w:t>Effective January 1, 2022</w:t>
      </w:r>
      <w:r>
        <w:rPr>
          <w:rFonts w:eastAsia="Times New Roman" w:cstheme="minorHAnsi"/>
          <w:color w:val="000000" w:themeColor="text1"/>
        </w:rPr>
        <w:t xml:space="preserve">. </w:t>
      </w:r>
      <w:r w:rsidRPr="000E6946">
        <w:rPr>
          <w:rFonts w:eastAsia="Times New Roman" w:cstheme="minorHAnsi"/>
          <w:color w:val="000000" w:themeColor="text1"/>
        </w:rPr>
        <w:t>Employer health plans must cover emergency services provided by a non-participating provider/facility without prior authorization and at in-network rates. Patients</w:t>
      </w:r>
      <w:r w:rsidR="005E6A76">
        <w:rPr>
          <w:rFonts w:eastAsia="Times New Roman" w:cstheme="minorHAnsi"/>
          <w:color w:val="000000" w:themeColor="text1"/>
        </w:rPr>
        <w:t xml:space="preserve"> will</w:t>
      </w:r>
      <w:r w:rsidRPr="000E6946">
        <w:rPr>
          <w:rFonts w:eastAsia="Times New Roman" w:cstheme="minorHAnsi"/>
          <w:color w:val="000000" w:themeColor="text1"/>
        </w:rPr>
        <w:t xml:space="preserve"> generally receive protection against balance billing from the provider.</w:t>
      </w:r>
      <w:r>
        <w:rPr>
          <w:rFonts w:eastAsia="Times New Roman" w:cstheme="minorHAnsi"/>
          <w:color w:val="000000" w:themeColor="text1"/>
        </w:rPr>
        <w:t xml:space="preserve"> </w:t>
      </w:r>
      <w:r w:rsidRPr="000E6946">
        <w:rPr>
          <w:rFonts w:eastAsia="Times New Roman" w:cstheme="minorHAnsi"/>
          <w:color w:val="000000" w:themeColor="text1"/>
        </w:rPr>
        <w:t>Additionally, health plans must cover non-emergency services provided by a non-participating provider at a participating facility at an in-network rate.</w:t>
      </w:r>
      <w:r>
        <w:rPr>
          <w:rFonts w:eastAsia="Times New Roman" w:cstheme="minorHAnsi"/>
          <w:color w:val="000000" w:themeColor="text1"/>
        </w:rPr>
        <w:t xml:space="preserve"> </w:t>
      </w:r>
      <w:r w:rsidRPr="000E6946">
        <w:rPr>
          <w:rFonts w:eastAsia="Times New Roman" w:cstheme="minorHAnsi"/>
          <w:color w:val="000000" w:themeColor="text1"/>
        </w:rPr>
        <w:t>If the provider objects to payment level, the plan and provider will initially negotiate the amount. If there is still no agreement, either may request an Independent Dispute Resolution (“IDR”) process. IDR process generally will result in a binding decision on an amount the plan must pay.</w:t>
      </w:r>
    </w:p>
    <w:p w:rsidR="000E6946" w:rsidRPr="000E6946" w:rsidRDefault="000E6946" w:rsidP="000E6946">
      <w:pPr>
        <w:shd w:val="clear" w:color="auto" w:fill="FFFFFF"/>
        <w:spacing w:after="0" w:line="360" w:lineRule="atLeast"/>
        <w:textAlignment w:val="baseline"/>
        <w:rPr>
          <w:rFonts w:eastAsia="Times New Roman" w:cstheme="minorHAnsi"/>
          <w:color w:val="000000" w:themeColor="text1"/>
        </w:rPr>
      </w:pPr>
    </w:p>
    <w:p w:rsidR="000E6946" w:rsidRPr="000E6946" w:rsidRDefault="000E6946" w:rsidP="000E6946">
      <w:pPr>
        <w:shd w:val="clear" w:color="auto" w:fill="FFFFFF"/>
        <w:spacing w:after="0" w:line="312" w:lineRule="atLeast"/>
        <w:textAlignment w:val="baseline"/>
        <w:outlineLvl w:val="2"/>
        <w:rPr>
          <w:rFonts w:eastAsia="Times New Roman" w:cstheme="minorHAnsi"/>
          <w:b/>
          <w:bCs/>
          <w:caps/>
          <w:color w:val="000000" w:themeColor="text1"/>
        </w:rPr>
      </w:pPr>
      <w:r w:rsidRPr="000E6946">
        <w:rPr>
          <w:rFonts w:eastAsia="Times New Roman" w:cstheme="minorHAnsi"/>
          <w:b/>
          <w:bCs/>
          <w:caps/>
          <w:color w:val="000000" w:themeColor="text1"/>
          <w:bdr w:val="none" w:sz="0" w:space="0" w:color="auto" w:frame="1"/>
        </w:rPr>
        <w:t>SURPRISE AIR AMBULANCE BILLS </w:t>
      </w:r>
    </w:p>
    <w:p w:rsidR="000E6946" w:rsidRDefault="000E6946" w:rsidP="000E6946">
      <w:pPr>
        <w:shd w:val="clear" w:color="auto" w:fill="FFFFFF"/>
        <w:spacing w:after="0" w:line="360" w:lineRule="atLeast"/>
        <w:textAlignment w:val="baseline"/>
        <w:rPr>
          <w:rFonts w:eastAsia="Times New Roman" w:cstheme="minorHAnsi"/>
          <w:color w:val="000000" w:themeColor="text1"/>
        </w:rPr>
      </w:pPr>
      <w:r w:rsidRPr="000E6946">
        <w:rPr>
          <w:rFonts w:eastAsia="Times New Roman" w:cstheme="minorHAnsi"/>
          <w:iCs/>
          <w:color w:val="000000" w:themeColor="text1"/>
          <w:bdr w:val="none" w:sz="0" w:space="0" w:color="auto" w:frame="1"/>
        </w:rPr>
        <w:t>Effective January 1, 2022</w:t>
      </w:r>
      <w:r>
        <w:rPr>
          <w:rFonts w:eastAsia="Times New Roman" w:cstheme="minorHAnsi"/>
          <w:color w:val="000000" w:themeColor="text1"/>
        </w:rPr>
        <w:t xml:space="preserve">. </w:t>
      </w:r>
      <w:r w:rsidRPr="000E6946">
        <w:rPr>
          <w:rFonts w:eastAsia="Times New Roman" w:cstheme="minorHAnsi"/>
          <w:color w:val="000000" w:themeColor="text1"/>
        </w:rPr>
        <w:t>Air ambulance bills will be subject to similar rules as the Surprise Billing section above. The intent is to protect plan enrollees for what can be significant air ambulance bills. </w:t>
      </w:r>
    </w:p>
    <w:p w:rsidR="000E6946" w:rsidRPr="000E6946" w:rsidRDefault="000E6946" w:rsidP="000E6946">
      <w:pPr>
        <w:shd w:val="clear" w:color="auto" w:fill="FFFFFF"/>
        <w:spacing w:after="0" w:line="360" w:lineRule="atLeast"/>
        <w:textAlignment w:val="baseline"/>
        <w:rPr>
          <w:rFonts w:eastAsia="Times New Roman" w:cstheme="minorHAnsi"/>
          <w:color w:val="000000" w:themeColor="text1"/>
        </w:rPr>
      </w:pPr>
    </w:p>
    <w:p w:rsidR="000E6946" w:rsidRPr="000E6946" w:rsidRDefault="000E6946" w:rsidP="000E6946">
      <w:pPr>
        <w:shd w:val="clear" w:color="auto" w:fill="FFFFFF"/>
        <w:spacing w:after="0" w:line="312" w:lineRule="atLeast"/>
        <w:textAlignment w:val="baseline"/>
        <w:outlineLvl w:val="2"/>
        <w:rPr>
          <w:rFonts w:eastAsia="Times New Roman" w:cstheme="minorHAnsi"/>
          <w:b/>
          <w:bCs/>
          <w:caps/>
          <w:color w:val="000000" w:themeColor="text1"/>
        </w:rPr>
      </w:pPr>
      <w:r w:rsidRPr="000E6946">
        <w:rPr>
          <w:rFonts w:eastAsia="Times New Roman" w:cstheme="minorHAnsi"/>
          <w:b/>
          <w:bCs/>
          <w:caps/>
          <w:color w:val="000000" w:themeColor="text1"/>
          <w:bdr w:val="none" w:sz="0" w:space="0" w:color="auto" w:frame="1"/>
        </w:rPr>
        <w:t>MODIFY IDENTIFICATION CARDS  </w:t>
      </w:r>
    </w:p>
    <w:p w:rsidR="000E6946" w:rsidRDefault="000E6946" w:rsidP="000E6946">
      <w:pPr>
        <w:shd w:val="clear" w:color="auto" w:fill="FFFFFF"/>
        <w:spacing w:after="0" w:line="360" w:lineRule="atLeast"/>
        <w:textAlignment w:val="baseline"/>
        <w:rPr>
          <w:rFonts w:eastAsia="Times New Roman" w:cstheme="minorHAnsi"/>
          <w:color w:val="000000" w:themeColor="text1"/>
        </w:rPr>
      </w:pPr>
      <w:r w:rsidRPr="000E6946">
        <w:rPr>
          <w:rFonts w:eastAsia="Times New Roman" w:cstheme="minorHAnsi"/>
          <w:iCs/>
          <w:color w:val="000000" w:themeColor="text1"/>
          <w:bdr w:val="none" w:sz="0" w:space="0" w:color="auto" w:frame="1"/>
        </w:rPr>
        <w:t>Effective January 1, 2022</w:t>
      </w:r>
      <w:r>
        <w:rPr>
          <w:rFonts w:eastAsia="Times New Roman" w:cstheme="minorHAnsi"/>
          <w:color w:val="000000" w:themeColor="text1"/>
        </w:rPr>
        <w:t xml:space="preserve">. </w:t>
      </w:r>
      <w:r w:rsidRPr="000E6946">
        <w:rPr>
          <w:rFonts w:eastAsia="Times New Roman" w:cstheme="minorHAnsi"/>
          <w:color w:val="000000" w:themeColor="text1"/>
        </w:rPr>
        <w:t>Identification cards now must include additional information relating to deductibles</w:t>
      </w:r>
      <w:r w:rsidR="0071730D">
        <w:rPr>
          <w:rFonts w:eastAsia="Times New Roman" w:cstheme="minorHAnsi"/>
          <w:color w:val="000000" w:themeColor="text1"/>
        </w:rPr>
        <w:t xml:space="preserve"> and </w:t>
      </w:r>
      <w:r w:rsidRPr="000E6946">
        <w:rPr>
          <w:rFonts w:eastAsia="Times New Roman" w:cstheme="minorHAnsi"/>
          <w:color w:val="000000" w:themeColor="text1"/>
        </w:rPr>
        <w:t>out-of-pocket maximums</w:t>
      </w:r>
      <w:r w:rsidR="0071730D">
        <w:rPr>
          <w:rFonts w:eastAsia="Times New Roman" w:cstheme="minorHAnsi"/>
          <w:color w:val="000000" w:themeColor="text1"/>
        </w:rPr>
        <w:t xml:space="preserve">; including Out-Of-Network benefits. </w:t>
      </w:r>
      <w:bookmarkStart w:id="0" w:name="_GoBack"/>
      <w:bookmarkEnd w:id="0"/>
    </w:p>
    <w:p w:rsidR="000E6946" w:rsidRPr="000E6946" w:rsidRDefault="000E6946" w:rsidP="000E6946">
      <w:pPr>
        <w:shd w:val="clear" w:color="auto" w:fill="FFFFFF"/>
        <w:spacing w:after="0" w:line="360" w:lineRule="atLeast"/>
        <w:textAlignment w:val="baseline"/>
        <w:rPr>
          <w:rFonts w:eastAsia="Times New Roman" w:cstheme="minorHAnsi"/>
          <w:color w:val="000000" w:themeColor="text1"/>
        </w:rPr>
      </w:pPr>
    </w:p>
    <w:p w:rsidR="000E6946" w:rsidRPr="000E6946" w:rsidRDefault="000E6946" w:rsidP="000E6946">
      <w:pPr>
        <w:shd w:val="clear" w:color="auto" w:fill="FFFFFF"/>
        <w:spacing w:after="0" w:line="312" w:lineRule="atLeast"/>
        <w:textAlignment w:val="baseline"/>
        <w:outlineLvl w:val="2"/>
        <w:rPr>
          <w:rFonts w:eastAsia="Times New Roman" w:cstheme="minorHAnsi"/>
          <w:b/>
          <w:bCs/>
          <w:caps/>
          <w:color w:val="000000" w:themeColor="text1"/>
        </w:rPr>
      </w:pPr>
      <w:r w:rsidRPr="000E6946">
        <w:rPr>
          <w:rFonts w:eastAsia="Times New Roman" w:cstheme="minorHAnsi"/>
          <w:b/>
          <w:bCs/>
          <w:caps/>
          <w:color w:val="000000" w:themeColor="text1"/>
          <w:bdr w:val="none" w:sz="0" w:space="0" w:color="auto" w:frame="1"/>
        </w:rPr>
        <w:t>ADVANCED EXPLANATION OF BENEFITS (“EOB”)</w:t>
      </w:r>
    </w:p>
    <w:p w:rsidR="000E6946" w:rsidRDefault="000E6946" w:rsidP="000E6946">
      <w:pPr>
        <w:shd w:val="clear" w:color="auto" w:fill="FFFFFF"/>
        <w:spacing w:after="0" w:line="360" w:lineRule="atLeast"/>
        <w:textAlignment w:val="baseline"/>
        <w:rPr>
          <w:rFonts w:eastAsia="Times New Roman" w:cstheme="minorHAnsi"/>
          <w:color w:val="000000" w:themeColor="text1"/>
        </w:rPr>
      </w:pPr>
      <w:r w:rsidRPr="000E6946">
        <w:rPr>
          <w:rFonts w:eastAsia="Times New Roman" w:cstheme="minorHAnsi"/>
          <w:iCs/>
          <w:color w:val="000000" w:themeColor="text1"/>
          <w:bdr w:val="none" w:sz="0" w:space="0" w:color="auto" w:frame="1"/>
        </w:rPr>
        <w:t>Delayed. Previously Effective January 1, 2022</w:t>
      </w:r>
      <w:r w:rsidR="005E6A76">
        <w:rPr>
          <w:rFonts w:eastAsia="Times New Roman" w:cstheme="minorHAnsi"/>
          <w:color w:val="000000" w:themeColor="text1"/>
        </w:rPr>
        <w:t xml:space="preserve">. </w:t>
      </w:r>
      <w:r w:rsidRPr="000E6946">
        <w:rPr>
          <w:rFonts w:eastAsia="Times New Roman" w:cstheme="minorHAnsi"/>
          <w:color w:val="000000" w:themeColor="text1"/>
        </w:rPr>
        <w:t>Employer health plans must provide patients with an advanced EOB for certain services upon request. This will require plans (or the TPA on behalf of the plan) to coordinate with the provider on expected procedures.</w:t>
      </w:r>
    </w:p>
    <w:p w:rsidR="000E6946" w:rsidRPr="000E6946" w:rsidRDefault="000E6946" w:rsidP="000E6946">
      <w:pPr>
        <w:shd w:val="clear" w:color="auto" w:fill="FFFFFF"/>
        <w:spacing w:after="0" w:line="360" w:lineRule="atLeast"/>
        <w:textAlignment w:val="baseline"/>
        <w:rPr>
          <w:rFonts w:eastAsia="Times New Roman" w:cstheme="minorHAnsi"/>
          <w:color w:val="000000" w:themeColor="text1"/>
        </w:rPr>
      </w:pPr>
    </w:p>
    <w:p w:rsidR="000E6946" w:rsidRPr="000E6946" w:rsidRDefault="000E6946" w:rsidP="000E6946">
      <w:pPr>
        <w:shd w:val="clear" w:color="auto" w:fill="FFFFFF"/>
        <w:spacing w:after="0" w:line="312" w:lineRule="atLeast"/>
        <w:textAlignment w:val="baseline"/>
        <w:outlineLvl w:val="2"/>
        <w:rPr>
          <w:rFonts w:eastAsia="Times New Roman" w:cstheme="minorHAnsi"/>
          <w:b/>
          <w:bCs/>
          <w:caps/>
          <w:color w:val="000000" w:themeColor="text1"/>
        </w:rPr>
      </w:pPr>
      <w:r w:rsidRPr="000E6946">
        <w:rPr>
          <w:rFonts w:eastAsia="Times New Roman" w:cstheme="minorHAnsi"/>
          <w:b/>
          <w:bCs/>
          <w:caps/>
          <w:color w:val="000000" w:themeColor="text1"/>
          <w:bdr w:val="none" w:sz="0" w:space="0" w:color="auto" w:frame="1"/>
        </w:rPr>
        <w:t>CONTINUITY OF CARE </w:t>
      </w:r>
    </w:p>
    <w:p w:rsidR="000E6946" w:rsidRDefault="000E6946" w:rsidP="000E6946">
      <w:pPr>
        <w:shd w:val="clear" w:color="auto" w:fill="FFFFFF"/>
        <w:spacing w:after="0" w:line="360" w:lineRule="atLeast"/>
        <w:textAlignment w:val="baseline"/>
        <w:rPr>
          <w:rFonts w:eastAsia="Times New Roman" w:cstheme="minorHAnsi"/>
          <w:color w:val="000000" w:themeColor="text1"/>
        </w:rPr>
      </w:pPr>
      <w:r w:rsidRPr="000E6946">
        <w:rPr>
          <w:rFonts w:eastAsia="Times New Roman" w:cstheme="minorHAnsi"/>
          <w:iCs/>
          <w:color w:val="000000" w:themeColor="text1"/>
          <w:bdr w:val="none" w:sz="0" w:space="0" w:color="auto" w:frame="1"/>
        </w:rPr>
        <w:t>Effective January 1, 2022</w:t>
      </w:r>
      <w:r>
        <w:rPr>
          <w:rFonts w:eastAsia="Times New Roman" w:cstheme="minorHAnsi"/>
          <w:color w:val="000000" w:themeColor="text1"/>
        </w:rPr>
        <w:t xml:space="preserve">. </w:t>
      </w:r>
      <w:r w:rsidRPr="000E6946">
        <w:rPr>
          <w:rFonts w:eastAsia="Times New Roman" w:cstheme="minorHAnsi"/>
          <w:color w:val="000000" w:themeColor="text1"/>
        </w:rPr>
        <w:t>Employer health plans must continue to cover certain benefits on an in-network basis when a provider or facility ceases to be in-network. Will require COBRA-like provisions, with plan notifying enrollee of right to obtain this benefit and enrollee electing the benefit. Generally applicable for serious and complex (or terminal) medical conditions. </w:t>
      </w:r>
    </w:p>
    <w:p w:rsidR="000E6946" w:rsidRPr="000E6946" w:rsidRDefault="000E6946" w:rsidP="000E6946">
      <w:pPr>
        <w:shd w:val="clear" w:color="auto" w:fill="FFFFFF"/>
        <w:spacing w:after="0" w:line="360" w:lineRule="atLeast"/>
        <w:textAlignment w:val="baseline"/>
        <w:rPr>
          <w:rFonts w:eastAsia="Times New Roman" w:cstheme="minorHAnsi"/>
          <w:color w:val="000000" w:themeColor="text1"/>
        </w:rPr>
      </w:pPr>
    </w:p>
    <w:p w:rsidR="000E6946" w:rsidRPr="000E6946" w:rsidRDefault="000E6946" w:rsidP="000E6946">
      <w:pPr>
        <w:shd w:val="clear" w:color="auto" w:fill="FFFFFF"/>
        <w:spacing w:after="0" w:line="312" w:lineRule="atLeast"/>
        <w:textAlignment w:val="baseline"/>
        <w:outlineLvl w:val="2"/>
        <w:rPr>
          <w:rFonts w:eastAsia="Times New Roman" w:cstheme="minorHAnsi"/>
          <w:b/>
          <w:bCs/>
          <w:caps/>
          <w:color w:val="000000" w:themeColor="text1"/>
        </w:rPr>
      </w:pPr>
      <w:r w:rsidRPr="000E6946">
        <w:rPr>
          <w:rFonts w:eastAsia="Times New Roman" w:cstheme="minorHAnsi"/>
          <w:b/>
          <w:bCs/>
          <w:caps/>
          <w:color w:val="000000" w:themeColor="text1"/>
          <w:bdr w:val="none" w:sz="0" w:space="0" w:color="auto" w:frame="1"/>
        </w:rPr>
        <w:t>PRICE COMPARISON TOOL </w:t>
      </w:r>
    </w:p>
    <w:p w:rsidR="000E6946" w:rsidRDefault="000E6946" w:rsidP="000E6946">
      <w:pPr>
        <w:shd w:val="clear" w:color="auto" w:fill="FFFFFF"/>
        <w:spacing w:after="0" w:line="360" w:lineRule="atLeast"/>
        <w:textAlignment w:val="baseline"/>
        <w:rPr>
          <w:rFonts w:eastAsia="Times New Roman" w:cstheme="minorHAnsi"/>
          <w:color w:val="000000" w:themeColor="text1"/>
        </w:rPr>
      </w:pPr>
      <w:r w:rsidRPr="000E6946">
        <w:rPr>
          <w:rFonts w:eastAsia="Times New Roman" w:cstheme="minorHAnsi"/>
          <w:iCs/>
          <w:color w:val="000000" w:themeColor="text1"/>
          <w:bdr w:val="none" w:sz="0" w:space="0" w:color="auto" w:frame="1"/>
        </w:rPr>
        <w:t>Effective January 1, 2022</w:t>
      </w:r>
      <w:r w:rsidR="005E6A76">
        <w:rPr>
          <w:rFonts w:eastAsia="Times New Roman" w:cstheme="minorHAnsi"/>
          <w:iCs/>
          <w:color w:val="000000" w:themeColor="text1"/>
          <w:bdr w:val="none" w:sz="0" w:space="0" w:color="auto" w:frame="1"/>
        </w:rPr>
        <w:t xml:space="preserve"> with 2</w:t>
      </w:r>
      <w:r w:rsidR="005E6A76" w:rsidRPr="005E6A76">
        <w:rPr>
          <w:rFonts w:eastAsia="Times New Roman" w:cstheme="minorHAnsi"/>
          <w:iCs/>
          <w:color w:val="000000" w:themeColor="text1"/>
          <w:bdr w:val="none" w:sz="0" w:space="0" w:color="auto" w:frame="1"/>
          <w:vertAlign w:val="superscript"/>
        </w:rPr>
        <w:t>nd</w:t>
      </w:r>
      <w:r w:rsidR="005E6A76">
        <w:rPr>
          <w:rFonts w:eastAsia="Times New Roman" w:cstheme="minorHAnsi"/>
          <w:iCs/>
          <w:color w:val="000000" w:themeColor="text1"/>
          <w:bdr w:val="none" w:sz="0" w:space="0" w:color="auto" w:frame="1"/>
        </w:rPr>
        <w:t xml:space="preserve"> &amp; 3</w:t>
      </w:r>
      <w:r w:rsidR="005E6A76" w:rsidRPr="005E6A76">
        <w:rPr>
          <w:rFonts w:eastAsia="Times New Roman" w:cstheme="minorHAnsi"/>
          <w:iCs/>
          <w:color w:val="000000" w:themeColor="text1"/>
          <w:bdr w:val="none" w:sz="0" w:space="0" w:color="auto" w:frame="1"/>
          <w:vertAlign w:val="superscript"/>
        </w:rPr>
        <w:t>rd</w:t>
      </w:r>
      <w:r w:rsidR="005E6A76">
        <w:rPr>
          <w:rFonts w:eastAsia="Times New Roman" w:cstheme="minorHAnsi"/>
          <w:iCs/>
          <w:color w:val="000000" w:themeColor="text1"/>
          <w:bdr w:val="none" w:sz="0" w:space="0" w:color="auto" w:frame="1"/>
        </w:rPr>
        <w:t xml:space="preserve"> stages coming in 2023 and 2024</w:t>
      </w:r>
      <w:r>
        <w:rPr>
          <w:rFonts w:eastAsia="Times New Roman" w:cstheme="minorHAnsi"/>
          <w:color w:val="000000" w:themeColor="text1"/>
        </w:rPr>
        <w:t xml:space="preserve">. </w:t>
      </w:r>
      <w:r w:rsidRPr="000E6946">
        <w:rPr>
          <w:rFonts w:eastAsia="Times New Roman" w:cstheme="minorHAnsi"/>
          <w:color w:val="000000" w:themeColor="text1"/>
        </w:rPr>
        <w:t>Employer health plans must offer price comparison guidance by phone and a price comparison tool online. The goal is that patients will be able to compare costs for various providers.</w:t>
      </w:r>
    </w:p>
    <w:p w:rsidR="005E6A76" w:rsidRPr="000E6946" w:rsidRDefault="005E6A76" w:rsidP="000E6946">
      <w:pPr>
        <w:shd w:val="clear" w:color="auto" w:fill="FFFFFF"/>
        <w:spacing w:after="0" w:line="360" w:lineRule="atLeast"/>
        <w:textAlignment w:val="baseline"/>
        <w:rPr>
          <w:rFonts w:eastAsia="Times New Roman" w:cstheme="minorHAnsi"/>
          <w:color w:val="000000" w:themeColor="text1"/>
        </w:rPr>
      </w:pPr>
    </w:p>
    <w:p w:rsidR="000E6946" w:rsidRPr="000E6946" w:rsidRDefault="000E6946" w:rsidP="000E6946">
      <w:pPr>
        <w:shd w:val="clear" w:color="auto" w:fill="FFFFFF"/>
        <w:spacing w:after="0" w:line="312" w:lineRule="atLeast"/>
        <w:textAlignment w:val="baseline"/>
        <w:outlineLvl w:val="2"/>
        <w:rPr>
          <w:rFonts w:eastAsia="Times New Roman" w:cstheme="minorHAnsi"/>
          <w:b/>
          <w:bCs/>
          <w:caps/>
          <w:color w:val="000000" w:themeColor="text1"/>
        </w:rPr>
      </w:pPr>
      <w:r w:rsidRPr="000E6946">
        <w:rPr>
          <w:rFonts w:eastAsia="Times New Roman" w:cstheme="minorHAnsi"/>
          <w:b/>
          <w:bCs/>
          <w:caps/>
          <w:color w:val="000000" w:themeColor="text1"/>
          <w:bdr w:val="none" w:sz="0" w:space="0" w:color="auto" w:frame="1"/>
        </w:rPr>
        <w:lastRenderedPageBreak/>
        <w:t>PROVIDER DIRECTORY AND COVERAGE INFORMATION REQUESTS </w:t>
      </w:r>
    </w:p>
    <w:p w:rsidR="000E6946" w:rsidRPr="000E6946" w:rsidRDefault="000E6946" w:rsidP="000E6946">
      <w:pPr>
        <w:shd w:val="clear" w:color="auto" w:fill="FFFFFF"/>
        <w:spacing w:after="0" w:line="360" w:lineRule="atLeast"/>
        <w:textAlignment w:val="baseline"/>
        <w:rPr>
          <w:rFonts w:eastAsia="Times New Roman" w:cstheme="minorHAnsi"/>
          <w:color w:val="000000" w:themeColor="text1"/>
        </w:rPr>
      </w:pPr>
      <w:r w:rsidRPr="000E6946">
        <w:rPr>
          <w:rFonts w:eastAsia="Times New Roman" w:cstheme="minorHAnsi"/>
          <w:iCs/>
          <w:color w:val="000000" w:themeColor="text1"/>
          <w:bdr w:val="none" w:sz="0" w:space="0" w:color="auto" w:frame="1"/>
        </w:rPr>
        <w:t>Effective January 1, 2022</w:t>
      </w:r>
      <w:r>
        <w:rPr>
          <w:rFonts w:eastAsia="Times New Roman" w:cstheme="minorHAnsi"/>
          <w:color w:val="000000" w:themeColor="text1"/>
        </w:rPr>
        <w:t xml:space="preserve">. </w:t>
      </w:r>
      <w:r w:rsidRPr="000E6946">
        <w:rPr>
          <w:rFonts w:eastAsia="Times New Roman" w:cstheme="minorHAnsi"/>
          <w:color w:val="000000" w:themeColor="text1"/>
        </w:rPr>
        <w:t>Employer health plans must create a database on a public website that includes a list of providers and facilities that are in-network. Information must be verified and updated every 90 days (to remove providers who have left network.)</w:t>
      </w:r>
      <w:r w:rsidR="005E6A76">
        <w:rPr>
          <w:rFonts w:eastAsia="Times New Roman" w:cstheme="minorHAnsi"/>
          <w:color w:val="000000" w:themeColor="text1"/>
        </w:rPr>
        <w:t xml:space="preserve"> </w:t>
      </w:r>
      <w:r w:rsidRPr="000E6946">
        <w:rPr>
          <w:rFonts w:eastAsia="Times New Roman" w:cstheme="minorHAnsi"/>
          <w:color w:val="000000" w:themeColor="text1"/>
        </w:rPr>
        <w:t>If information that plans provide about in-network status is incorrect, the plan enrollee may be protected from higher cost-sharing amounts.</w:t>
      </w:r>
    </w:p>
    <w:sectPr w:rsidR="000E6946" w:rsidRPr="000E6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465"/>
    <w:multiLevelType w:val="multilevel"/>
    <w:tmpl w:val="A06C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7656D"/>
    <w:multiLevelType w:val="multilevel"/>
    <w:tmpl w:val="CB90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DC594F"/>
    <w:multiLevelType w:val="multilevel"/>
    <w:tmpl w:val="017E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A6C9C"/>
    <w:multiLevelType w:val="multilevel"/>
    <w:tmpl w:val="CA1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44039"/>
    <w:multiLevelType w:val="multilevel"/>
    <w:tmpl w:val="3016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943002"/>
    <w:multiLevelType w:val="multilevel"/>
    <w:tmpl w:val="FED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15AE7"/>
    <w:multiLevelType w:val="multilevel"/>
    <w:tmpl w:val="3674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91CBF"/>
    <w:multiLevelType w:val="multilevel"/>
    <w:tmpl w:val="FB24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B72FD1"/>
    <w:multiLevelType w:val="multilevel"/>
    <w:tmpl w:val="68E2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0C4FBD"/>
    <w:multiLevelType w:val="multilevel"/>
    <w:tmpl w:val="9B0A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5B1ED4"/>
    <w:multiLevelType w:val="multilevel"/>
    <w:tmpl w:val="CDCA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245DAF"/>
    <w:multiLevelType w:val="multilevel"/>
    <w:tmpl w:val="B3A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742EE6"/>
    <w:multiLevelType w:val="multilevel"/>
    <w:tmpl w:val="F466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7"/>
  </w:num>
  <w:num w:numId="4">
    <w:abstractNumId w:val="5"/>
  </w:num>
  <w:num w:numId="5">
    <w:abstractNumId w:val="10"/>
  </w:num>
  <w:num w:numId="6">
    <w:abstractNumId w:val="12"/>
  </w:num>
  <w:num w:numId="7">
    <w:abstractNumId w:val="1"/>
  </w:num>
  <w:num w:numId="8">
    <w:abstractNumId w:val="3"/>
  </w:num>
  <w:num w:numId="9">
    <w:abstractNumId w:val="9"/>
  </w:num>
  <w:num w:numId="10">
    <w:abstractNumId w:val="4"/>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46"/>
    <w:rsid w:val="000E6946"/>
    <w:rsid w:val="002345BE"/>
    <w:rsid w:val="004E69FC"/>
    <w:rsid w:val="005E6A76"/>
    <w:rsid w:val="00707344"/>
    <w:rsid w:val="0071730D"/>
    <w:rsid w:val="00752794"/>
    <w:rsid w:val="00E8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22D8"/>
  <w15:chartTrackingRefBased/>
  <w15:docId w15:val="{4758A0A6-10C9-4C82-9D3A-043E4BA3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E6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69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9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6946"/>
    <w:rPr>
      <w:rFonts w:ascii="Times New Roman" w:eastAsia="Times New Roman" w:hAnsi="Times New Roman" w:cs="Times New Roman"/>
      <w:b/>
      <w:bCs/>
      <w:sz w:val="27"/>
      <w:szCs w:val="27"/>
    </w:rPr>
  </w:style>
  <w:style w:type="character" w:styleId="Strong">
    <w:name w:val="Strong"/>
    <w:basedOn w:val="DefaultParagraphFont"/>
    <w:uiPriority w:val="22"/>
    <w:qFormat/>
    <w:rsid w:val="000E6946"/>
    <w:rPr>
      <w:b/>
      <w:bCs/>
    </w:rPr>
  </w:style>
  <w:style w:type="paragraph" w:styleId="NormalWeb">
    <w:name w:val="Normal (Web)"/>
    <w:basedOn w:val="Normal"/>
    <w:uiPriority w:val="99"/>
    <w:semiHidden/>
    <w:unhideWhenUsed/>
    <w:rsid w:val="000E69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946"/>
    <w:rPr>
      <w:color w:val="0000FF"/>
      <w:u w:val="single"/>
    </w:rPr>
  </w:style>
  <w:style w:type="character" w:styleId="Emphasis">
    <w:name w:val="Emphasis"/>
    <w:basedOn w:val="DefaultParagraphFont"/>
    <w:uiPriority w:val="20"/>
    <w:qFormat/>
    <w:rsid w:val="000E6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0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gletree.com/insights/new-mental-health-parity-guidance-and-enforcement-efforts-may-warrant-a-deep-dive-into-plan-administration/" TargetMode="External"/><Relationship Id="rId5" Type="http://schemas.openxmlformats.org/officeDocument/2006/relationships/hyperlink" Target="https://www.shrm.org/resourcesandtools/hr-topics/benefits/pages/appropriations-act-requires-employer-actions-to-ensure-mental-health-parit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Kulp</dc:creator>
  <cp:keywords/>
  <dc:description/>
  <cp:lastModifiedBy>John Kulp</cp:lastModifiedBy>
  <cp:revision>3</cp:revision>
  <dcterms:created xsi:type="dcterms:W3CDTF">2022-09-20T17:18:00Z</dcterms:created>
  <dcterms:modified xsi:type="dcterms:W3CDTF">2022-09-20T17:50:00Z</dcterms:modified>
</cp:coreProperties>
</file>