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1B" w:rsidRDefault="000A5B54">
      <w:r>
        <w:tab/>
      </w:r>
      <w:r>
        <w:tab/>
      </w:r>
      <w:r>
        <w:tab/>
      </w:r>
      <w:r>
        <w:tab/>
      </w:r>
      <w:r>
        <w:tab/>
        <w:t xml:space="preserve">ICHRA Background: </w:t>
      </w:r>
    </w:p>
    <w:p w:rsidR="000A5B54" w:rsidRDefault="000A5B54"/>
    <w:p w:rsidR="000A5B54" w:rsidRDefault="000A5B54">
      <w:r>
        <w:t xml:space="preserve">ICHRA’s can reimburse a member for certain medical expenses, their insurance premiums, or both.  To qualify, </w:t>
      </w:r>
      <w:r w:rsidRPr="008C2F97">
        <w:rPr>
          <w:u w:val="single"/>
        </w:rPr>
        <w:t xml:space="preserve">you must enroll in an </w:t>
      </w:r>
      <w:r w:rsidR="008C2F97" w:rsidRPr="008C2F97">
        <w:rPr>
          <w:u w:val="single"/>
        </w:rPr>
        <w:t>individual</w:t>
      </w:r>
      <w:r w:rsidRPr="008C2F97">
        <w:rPr>
          <w:u w:val="single"/>
        </w:rPr>
        <w:t xml:space="preserve"> health plan</w:t>
      </w:r>
      <w:r>
        <w:t xml:space="preserve"> </w:t>
      </w:r>
      <w:r w:rsidR="008C2F97">
        <w:t xml:space="preserve">using the Health Insurance Marketplace or a private insurer.  </w:t>
      </w:r>
    </w:p>
    <w:p w:rsidR="00E04687" w:rsidRDefault="008C2F97">
      <w:r>
        <w:t xml:space="preserve">An employer that would deploy this strategy would </w:t>
      </w:r>
      <w:r w:rsidR="0036591E">
        <w:t>most likely use an outside vendor/TPA that would handle the set-up of the ICHRA, the plan document</w:t>
      </w:r>
      <w:r w:rsidR="00EF4D2E">
        <w:t xml:space="preserve"> and assist in setting up the deductions.  </w:t>
      </w:r>
    </w:p>
    <w:p w:rsidR="00E04687" w:rsidRPr="0086097C" w:rsidRDefault="00E04687">
      <w:pPr>
        <w:rPr>
          <w:color w:val="FF0000"/>
        </w:rPr>
      </w:pPr>
      <w:r w:rsidRPr="0086097C">
        <w:rPr>
          <w:color w:val="FF0000"/>
        </w:rPr>
        <w:t xml:space="preserve">Please note there are distinct differences between a </w:t>
      </w:r>
      <w:r w:rsidR="005C32DE" w:rsidRPr="0086097C">
        <w:rPr>
          <w:color w:val="FF0000"/>
        </w:rPr>
        <w:t xml:space="preserve">QSEHRA and an ICHRA.  An QSEHRA stands for a Qualified Small Employer HRA and is only available for employers under 50 employees.  </w:t>
      </w:r>
    </w:p>
    <w:p w:rsidR="00EF4D2E" w:rsidRDefault="00EF4D2E"/>
    <w:p w:rsidR="00EF4D2E" w:rsidRDefault="00EF4D2E">
      <w:r w:rsidRPr="00EF4D2E">
        <w:rPr>
          <w:u w:val="single"/>
        </w:rPr>
        <w:t>CONS</w:t>
      </w:r>
      <w:r>
        <w:t>: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Administratively it can be very messy.  The more employees you have, the more choices and options.  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No help or member advocacy.  Employees are on their own for customer service.  We could not assist, as there is no broker of record. 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>Most carriers no longer pay a broker commission on individual plans. The only way to get paid would be to charge a “consulting fee”.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Any entities working in this space, would need “enrollers” that would sit one-on-one with each employee and help them get enrolled (or the employer could choose to make the member find it on their own). 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No consolidated billing, </w:t>
      </w:r>
      <w:proofErr w:type="spellStart"/>
      <w:r>
        <w:t>etc</w:t>
      </w:r>
      <w:proofErr w:type="spellEnd"/>
      <w:r>
        <w:t>….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If the employer is over 50 </w:t>
      </w:r>
      <w:proofErr w:type="spellStart"/>
      <w:r>
        <w:t>ee’s</w:t>
      </w:r>
      <w:proofErr w:type="spellEnd"/>
      <w:proofErr w:type="gramStart"/>
      <w:r>
        <w:t>….keep</w:t>
      </w:r>
      <w:proofErr w:type="gramEnd"/>
      <w:r>
        <w:t xml:space="preserve"> in mind they are still subject to the employer mandate.  The ACA reporting </w:t>
      </w:r>
      <w:r w:rsidR="000708B5">
        <w:t xml:space="preserve">can be very complex and tricky when using an ICHRA.  </w:t>
      </w:r>
      <w:r w:rsidR="00584789">
        <w:t xml:space="preserve">It is viewed by the IRS as a “self-funded” plan and the employer is subject to the pay or play rules under ACA.  </w:t>
      </w:r>
    </w:p>
    <w:p w:rsidR="00D97D75" w:rsidRDefault="00F7469F" w:rsidP="00EF4D2E">
      <w:pPr>
        <w:pStyle w:val="ListParagraph"/>
        <w:numPr>
          <w:ilvl w:val="0"/>
          <w:numId w:val="1"/>
        </w:numPr>
      </w:pPr>
      <w:r>
        <w:t xml:space="preserve">Individuals covered by an HRA </w:t>
      </w:r>
      <w:r w:rsidR="00396E08">
        <w:t>are deemed</w:t>
      </w:r>
      <w:r>
        <w:t xml:space="preserve"> </w:t>
      </w:r>
      <w:r w:rsidRPr="000775BD">
        <w:rPr>
          <w:b/>
          <w:u w:val="single"/>
        </w:rPr>
        <w:t xml:space="preserve">ineligible for </w:t>
      </w:r>
      <w:r w:rsidR="0054074B" w:rsidRPr="000775BD">
        <w:rPr>
          <w:b/>
          <w:u w:val="single"/>
        </w:rPr>
        <w:t>the Premium Tax Credit</w:t>
      </w:r>
      <w:r w:rsidR="0054074B">
        <w:t xml:space="preserve"> (i.e.- subsidy) through the exchange. </w:t>
      </w:r>
      <w:r w:rsidR="00396E08">
        <w:t>They would be required to “</w:t>
      </w:r>
      <w:proofErr w:type="spellStart"/>
      <w:r w:rsidR="00396E08">
        <w:t>Opt</w:t>
      </w:r>
      <w:proofErr w:type="spellEnd"/>
      <w:r w:rsidR="00396E08">
        <w:t xml:space="preserve"> Out” of the ICHRA.</w:t>
      </w:r>
    </w:p>
    <w:p w:rsidR="00F7469F" w:rsidRDefault="00396E08" w:rsidP="00D97D75">
      <w:pPr>
        <w:pStyle w:val="ListParagraph"/>
        <w:numPr>
          <w:ilvl w:val="1"/>
          <w:numId w:val="1"/>
        </w:numPr>
      </w:pPr>
      <w:r w:rsidRPr="00D97D75">
        <w:rPr>
          <w:i/>
        </w:rPr>
        <w:t xml:space="preserve"> </w:t>
      </w:r>
      <w:r w:rsidR="00D97D75" w:rsidRPr="00D97D75">
        <w:rPr>
          <w:i/>
        </w:rPr>
        <w:t xml:space="preserve">If contributions and/or plans are deemed </w:t>
      </w:r>
      <w:r w:rsidR="00D97D75" w:rsidRPr="00D97D75">
        <w:rPr>
          <w:b/>
          <w:i/>
          <w:u w:val="single"/>
        </w:rPr>
        <w:t>unaffordable</w:t>
      </w:r>
      <w:r w:rsidR="00D97D75" w:rsidRPr="00D97D75">
        <w:rPr>
          <w:i/>
        </w:rPr>
        <w:t>…then subsidies could still apply.</w:t>
      </w:r>
      <w:r w:rsidR="00D97D75">
        <w:t xml:space="preserve"> </w:t>
      </w:r>
      <w:bookmarkStart w:id="0" w:name="_GoBack"/>
      <w:bookmarkEnd w:id="0"/>
    </w:p>
    <w:p w:rsidR="0054074B" w:rsidRDefault="005714D4" w:rsidP="00EF4D2E">
      <w:pPr>
        <w:pStyle w:val="ListParagraph"/>
        <w:numPr>
          <w:ilvl w:val="0"/>
          <w:numId w:val="1"/>
        </w:numPr>
      </w:pPr>
      <w:r>
        <w:t>Participation requirements</w:t>
      </w:r>
      <w:r w:rsidRPr="005714D4">
        <w:rPr>
          <w:u w:val="single"/>
        </w:rPr>
        <w:t xml:space="preserve"> IF </w:t>
      </w:r>
      <w:r>
        <w:t>offered alongside a group health plan (i.e. – minimum of 10 employees enrolled in the ICHRA for employers less than 100 employees).</w:t>
      </w:r>
    </w:p>
    <w:p w:rsidR="00A2656E" w:rsidRDefault="00A2656E" w:rsidP="00EF4D2E">
      <w:pPr>
        <w:pStyle w:val="ListParagraph"/>
        <w:numPr>
          <w:ilvl w:val="0"/>
          <w:numId w:val="1"/>
        </w:numPr>
      </w:pPr>
      <w:r>
        <w:t>ICHRA’s are also subject to the PCORI fees and reporting each year.</w:t>
      </w:r>
    </w:p>
    <w:p w:rsidR="005D34D2" w:rsidRDefault="005D34D2" w:rsidP="00EF4D2E">
      <w:pPr>
        <w:pStyle w:val="ListParagraph"/>
        <w:numPr>
          <w:ilvl w:val="0"/>
          <w:numId w:val="1"/>
        </w:numPr>
      </w:pPr>
      <w:r>
        <w:t xml:space="preserve">If offering a QSEHRA, there are specific W-2 reporting obligations. </w:t>
      </w:r>
    </w:p>
    <w:p w:rsidR="005D34D2" w:rsidRDefault="005D34D2" w:rsidP="005D34D2">
      <w:pPr>
        <w:pStyle w:val="ListParagraph"/>
        <w:numPr>
          <w:ilvl w:val="0"/>
          <w:numId w:val="2"/>
        </w:numPr>
      </w:pPr>
      <w:r>
        <w:t>Employees will need to see the amount of reimbursements on their pay stubs</w:t>
      </w:r>
    </w:p>
    <w:p w:rsidR="005D34D2" w:rsidRDefault="005D34D2" w:rsidP="005D34D2">
      <w:pPr>
        <w:pStyle w:val="ListParagraph"/>
        <w:numPr>
          <w:ilvl w:val="0"/>
          <w:numId w:val="3"/>
        </w:numPr>
      </w:pPr>
      <w:r>
        <w:t xml:space="preserve">Employees MUST be enrolled in Minimum Essential </w:t>
      </w:r>
      <w:proofErr w:type="spellStart"/>
      <w:r>
        <w:t>Covg</w:t>
      </w:r>
      <w:proofErr w:type="spellEnd"/>
      <w:r>
        <w:t xml:space="preserve"> (MEC)…if not all reimbursements become subject to all taxes. </w:t>
      </w:r>
      <w:r w:rsidR="005C32DE">
        <w:t xml:space="preserve">Under a QSEHRA, an </w:t>
      </w:r>
      <w:proofErr w:type="gramStart"/>
      <w:r w:rsidR="005C32DE">
        <w:t>employees</w:t>
      </w:r>
      <w:proofErr w:type="gramEnd"/>
      <w:r w:rsidR="005C32DE">
        <w:t xml:space="preserve"> premium tax credit would reduced by the amount of the HRA provided by the employer. </w:t>
      </w:r>
    </w:p>
    <w:p w:rsidR="00EF4D2E" w:rsidRDefault="00EF4D2E" w:rsidP="00EF4D2E"/>
    <w:p w:rsidR="00EF4D2E" w:rsidRDefault="00EF4D2E" w:rsidP="00EF4D2E"/>
    <w:p w:rsidR="00EF4D2E" w:rsidRDefault="00EF4D2E" w:rsidP="00EF4D2E"/>
    <w:p w:rsidR="005C32DE" w:rsidRDefault="005C32DE" w:rsidP="00EF4D2E">
      <w:pPr>
        <w:rPr>
          <w:u w:val="single"/>
        </w:rPr>
      </w:pPr>
    </w:p>
    <w:p w:rsidR="00EF4D2E" w:rsidRDefault="00EF4D2E" w:rsidP="00EF4D2E">
      <w:r w:rsidRPr="00EF4D2E">
        <w:rPr>
          <w:u w:val="single"/>
        </w:rPr>
        <w:t>PROS</w:t>
      </w:r>
      <w:r>
        <w:t>: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 xml:space="preserve">Healthcare isn’t a one-size-fits-all answer…so each employee can pick their own plan with any carrier of their choice.  Many more options. </w:t>
      </w:r>
    </w:p>
    <w:p w:rsidR="00EF4D2E" w:rsidRDefault="00EF4D2E" w:rsidP="00EF4D2E">
      <w:pPr>
        <w:pStyle w:val="ListParagraph"/>
        <w:numPr>
          <w:ilvl w:val="0"/>
          <w:numId w:val="1"/>
        </w:numPr>
      </w:pPr>
      <w:r>
        <w:t>No carrier participation requirements to comply with</w:t>
      </w:r>
    </w:p>
    <w:p w:rsidR="00C4169B" w:rsidRDefault="00C4169B" w:rsidP="00EF4D2E">
      <w:pPr>
        <w:pStyle w:val="ListParagraph"/>
        <w:numPr>
          <w:ilvl w:val="0"/>
          <w:numId w:val="1"/>
        </w:numPr>
      </w:pPr>
      <w:r>
        <w:t>Employers can cap their contribution at a flat level</w:t>
      </w:r>
      <w:proofErr w:type="gramStart"/>
      <w:r>
        <w:t>…..</w:t>
      </w:r>
      <w:proofErr w:type="gramEnd"/>
      <w:r>
        <w:t xml:space="preserve">however argument can be made </w:t>
      </w:r>
      <w:r w:rsidR="008B78FD">
        <w:t>that you can do the same under a traditional group health plan (i.e. fixed contribution on the single rate)</w:t>
      </w:r>
    </w:p>
    <w:p w:rsidR="008B78FD" w:rsidRDefault="008B78FD" w:rsidP="00EF4D2E">
      <w:pPr>
        <w:pStyle w:val="ListParagraph"/>
        <w:numPr>
          <w:ilvl w:val="0"/>
          <w:numId w:val="1"/>
        </w:numPr>
      </w:pPr>
      <w:r>
        <w:t>Can Class Out employees</w:t>
      </w:r>
      <w:r w:rsidR="005D34D2">
        <w:t xml:space="preserve"> (only on ICHRA, not available under </w:t>
      </w:r>
      <w:r w:rsidR="005C32DE">
        <w:t>QSEHRA).</w:t>
      </w:r>
    </w:p>
    <w:p w:rsidR="00D766DE" w:rsidRDefault="00D766DE" w:rsidP="00EF4D2E">
      <w:pPr>
        <w:pStyle w:val="ListParagraph"/>
        <w:numPr>
          <w:ilvl w:val="0"/>
          <w:numId w:val="1"/>
        </w:numPr>
      </w:pPr>
      <w:r>
        <w:t xml:space="preserve">You can pay higher defined contributions by age and number of dependents. </w:t>
      </w:r>
    </w:p>
    <w:p w:rsidR="008B78FD" w:rsidRDefault="008B78FD" w:rsidP="00EF4D2E">
      <w:pPr>
        <w:pStyle w:val="ListParagraph"/>
        <w:numPr>
          <w:ilvl w:val="0"/>
          <w:numId w:val="1"/>
        </w:numPr>
      </w:pPr>
      <w:r>
        <w:t>Not subject to ERISA (if certain requirements are met)</w:t>
      </w:r>
    </w:p>
    <w:p w:rsidR="00EF4D2E" w:rsidRDefault="00EF4D2E"/>
    <w:sectPr w:rsidR="00EF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2475"/>
    <w:multiLevelType w:val="hybridMultilevel"/>
    <w:tmpl w:val="B41E77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D0DA5"/>
    <w:multiLevelType w:val="hybridMultilevel"/>
    <w:tmpl w:val="631EEB3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4D5E13"/>
    <w:multiLevelType w:val="hybridMultilevel"/>
    <w:tmpl w:val="1EF05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54"/>
    <w:rsid w:val="000708B5"/>
    <w:rsid w:val="000775BD"/>
    <w:rsid w:val="000A5B54"/>
    <w:rsid w:val="00165203"/>
    <w:rsid w:val="00242257"/>
    <w:rsid w:val="0036591E"/>
    <w:rsid w:val="00396E08"/>
    <w:rsid w:val="0054074B"/>
    <w:rsid w:val="005714D4"/>
    <w:rsid w:val="00584789"/>
    <w:rsid w:val="005C32DE"/>
    <w:rsid w:val="005D34D2"/>
    <w:rsid w:val="0086097C"/>
    <w:rsid w:val="008B78FD"/>
    <w:rsid w:val="008C2F97"/>
    <w:rsid w:val="00A2656E"/>
    <w:rsid w:val="00C4169B"/>
    <w:rsid w:val="00D57B1B"/>
    <w:rsid w:val="00D766DE"/>
    <w:rsid w:val="00D97D75"/>
    <w:rsid w:val="00E04687"/>
    <w:rsid w:val="00EE5752"/>
    <w:rsid w:val="00EF4D2E"/>
    <w:rsid w:val="00F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F035"/>
  <w15:chartTrackingRefBased/>
  <w15:docId w15:val="{D64D4A2F-5DD6-4B65-A559-4C126D3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Kulp</dc:creator>
  <cp:keywords/>
  <dc:description/>
  <cp:lastModifiedBy>John Kulp</cp:lastModifiedBy>
  <cp:revision>12</cp:revision>
  <dcterms:created xsi:type="dcterms:W3CDTF">2022-03-10T17:30:00Z</dcterms:created>
  <dcterms:modified xsi:type="dcterms:W3CDTF">2023-05-03T14:59:00Z</dcterms:modified>
</cp:coreProperties>
</file>