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00D" w:rsidRPr="00036D4E" w:rsidRDefault="008D0AE7" w:rsidP="00AA15BC">
      <w:pPr>
        <w:pStyle w:val="MainTitle"/>
        <w:spacing w:line="192" w:lineRule="auto"/>
      </w:pPr>
      <w:bookmarkStart w:id="0" w:name="_GoBack"/>
      <w:bookmarkEnd w:id="0"/>
      <w:r>
        <w:rPr>
          <w:noProof/>
        </w:rPr>
        <w:drawing>
          <wp:anchor distT="0" distB="0" distL="114300" distR="114300" simplePos="0" relativeHeight="251658240" behindDoc="0" locked="1" layoutInCell="1" allowOverlap="1">
            <wp:simplePos x="0" y="0"/>
            <wp:positionH relativeFrom="margin">
              <wp:posOffset>2730500</wp:posOffset>
            </wp:positionH>
            <wp:positionV relativeFrom="margin">
              <wp:posOffset>6223000</wp:posOffset>
            </wp:positionV>
            <wp:extent cx="1645923" cy="1120142"/>
            <wp:effectExtent l="0" t="0" r="0" b="0"/>
            <wp:wrapNone/>
            <wp:docPr id="100040" name="Picture 10004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0"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Pr="00036D4E">
        <w:rPr>
          <w:noProof/>
        </w:rPr>
        <mc:AlternateContent>
          <mc:Choice Requires="wpg">
            <w:drawing>
              <wp:anchor distT="0" distB="0" distL="114300" distR="114300" simplePos="0" relativeHeight="251666432" behindDoc="1" locked="0" layoutInCell="1" allowOverlap="1">
                <wp:simplePos x="0" y="0"/>
                <wp:positionH relativeFrom="column">
                  <wp:posOffset>-449179</wp:posOffset>
                </wp:positionH>
                <wp:positionV relativeFrom="paragraph">
                  <wp:posOffset>4879</wp:posOffset>
                </wp:positionV>
                <wp:extent cx="7772400" cy="2903622"/>
                <wp:effectExtent l="0" t="0" r="0" b="0"/>
                <wp:wrapNone/>
                <wp:docPr id="7" name="Group 7"/>
                <wp:cNvGraphicFramePr/>
                <a:graphic xmlns:a="http://schemas.openxmlformats.org/drawingml/2006/main">
                  <a:graphicData uri="http://schemas.microsoft.com/office/word/2010/wordprocessingGroup">
                    <wpg:wgp>
                      <wpg:cNvGrpSpPr/>
                      <wpg:grpSpPr>
                        <a:xfrm>
                          <a:off x="0" y="0"/>
                          <a:ext cx="7772400" cy="2903622"/>
                          <a:chOff x="3877" y="0"/>
                          <a:chExt cx="7772400" cy="2903622"/>
                        </a:xfrm>
                      </wpg:grpSpPr>
                      <wpg:grpSp>
                        <wpg:cNvPr id="536883593" name="Group 2"/>
                        <wpg:cNvGrpSpPr/>
                        <wpg:grpSpPr>
                          <a:xfrm>
                            <a:off x="3877" y="0"/>
                            <a:ext cx="7772400" cy="962794"/>
                            <a:chOff x="3877" y="0"/>
                            <a:chExt cx="7772400" cy="962794"/>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77" y="327660"/>
                              <a:ext cx="7772400" cy="635134"/>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A95ADA" w:rsidRPr="00B27C10" w:rsidRDefault="008D0AE7" w:rsidP="00036D4E">
                                <w:pPr>
                                  <w:pStyle w:val="SectionedHeader"/>
                                </w:pPr>
                                <w:r>
                                  <w:t>PCORI Fees</w:t>
                                </w:r>
                              </w:p>
                            </w:txbxContent>
                          </wps:txbx>
                          <wps:bodyPr rot="0" vert="horz" wrap="square" anchor="t" anchorCtr="0"/>
                        </wps:wsp>
                      </wpg:grpSp>
                      <wps:wsp>
                        <wps:cNvPr id="217" name="Text Box 2"/>
                        <wps:cNvSpPr txBox="1">
                          <a:spLocks noChangeArrowheads="1"/>
                        </wps:cNvSpPr>
                        <wps:spPr bwMode="auto">
                          <a:xfrm>
                            <a:off x="5022273" y="360091"/>
                            <a:ext cx="2413000" cy="2543531"/>
                          </a:xfrm>
                          <a:prstGeom prst="rect">
                            <a:avLst/>
                          </a:prstGeom>
                          <a:noFill/>
                          <a:ln w="9525">
                            <a:noFill/>
                            <a:miter lim="800000"/>
                            <a:headEnd/>
                            <a:tailEnd/>
                          </a:ln>
                        </wps:spPr>
                        <wps:txbx>
                          <w:txbxContent>
                            <w:p w:rsidR="00431B1C" w:rsidRDefault="008D0AE7" w:rsidP="005F25FD">
                              <w:pPr>
                                <w:pStyle w:val="BulletList"/>
                                <w:numPr>
                                  <w:ilvl w:val="0"/>
                                  <w:numId w:val="8"/>
                                </w:numPr>
                              </w:pPr>
                              <w:r w:rsidRPr="002E210C">
                                <w:t>The ACA imposes PCORI fees on health insurers and self-insured plan sponsors.</w:t>
                              </w:r>
                            </w:p>
                            <w:p w:rsidR="0024208C" w:rsidRDefault="008D0AE7" w:rsidP="00431B1C">
                              <w:pPr>
                                <w:pStyle w:val="BulletList"/>
                                <w:numPr>
                                  <w:ilvl w:val="0"/>
                                  <w:numId w:val="8"/>
                                </w:numPr>
                              </w:pPr>
                              <w:r>
                                <w:t xml:space="preserve">The fee </w:t>
                              </w:r>
                              <w:r w:rsidR="00837917">
                                <w:t xml:space="preserve">originally </w:t>
                              </w:r>
                              <w:r>
                                <w:t>applie</w:t>
                              </w:r>
                              <w:r w:rsidR="00837917">
                                <w:t>d</w:t>
                              </w:r>
                              <w:r>
                                <w:t xml:space="preserve"> to policy or plan years ending on or after Oct. 1, 2012, and before Oct. 1, 2019.</w:t>
                              </w:r>
                              <w:r w:rsidR="00837917">
                                <w:t xml:space="preserve"> </w:t>
                              </w:r>
                              <w:r w:rsidR="00837917" w:rsidRPr="00837917">
                                <w:rPr>
                                  <w:b/>
                                </w:rPr>
                                <w:t>However, it was extended to apply through the 2029 fiscal year</w:t>
                              </w:r>
                              <w:r w:rsidR="00837917">
                                <w:t>.</w:t>
                              </w:r>
                            </w:p>
                            <w:p w:rsidR="004A2196" w:rsidRPr="00526C74" w:rsidRDefault="008D0AE7" w:rsidP="00431B1C">
                              <w:pPr>
                                <w:pStyle w:val="BulletList"/>
                                <w:numPr>
                                  <w:ilvl w:val="0"/>
                                  <w:numId w:val="8"/>
                                </w:numPr>
                              </w:pPr>
                              <w:r w:rsidRPr="00E35D2E">
                                <w:t>The fee is paid by July 31 of each year using IRS Form 720.</w:t>
                              </w:r>
                            </w:p>
                          </w:txbxContent>
                        </wps:txbx>
                        <wps:bodyPr rot="0" vert="horz" wrap="square" anchor="t" anchorCtr="0"/>
                      </wps:wsp>
                    </wpg:wgp>
                  </a:graphicData>
                </a:graphic>
                <wp14:sizeRelV relativeFrom="margin">
                  <wp14:pctHeight>0</wp14:pctHeight>
                </wp14:sizeRelV>
              </wp:anchor>
            </w:drawing>
          </mc:Choice>
          <mc:Fallback>
            <w:pict>
              <v:group id="Group 7" o:spid="_x0000_s1026" style="position:absolute;margin-left:-35.35pt;margin-top:.4pt;width:612pt;height:228.65pt;z-index:-251650048;mso-height-relative:margin" coordorigin="38" coordsize="77724,29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">
                <v:group id="Group 2" o:spid="_x0000_s1027" style="position:absolute;left:38;width:77724;height:9627" coordorigin="38" coordsize="77724,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8;top:3276;width:77724;height: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95ADA" w:rsidRPr="00B27C10" w:rsidRDefault="008D0AE7" w:rsidP="00036D4E">
                          <w:pPr>
                            <w:pStyle w:val="SectionedHeader"/>
                          </w:pPr>
                          <w:r>
                            <w:t>PCORI Fees</w:t>
                          </w:r>
                        </w:p>
                      </w:txbxContent>
                    </v:textbox>
                  </v:shape>
                </v:group>
                <v:shape id="Text Box 2" o:spid="_x0000_s1030" type="#_x0000_t202" style="position:absolute;left:50222;top:3600;width:24130;height:2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431B1C" w:rsidRDefault="008D0AE7" w:rsidP="005F25FD">
                        <w:pPr>
                          <w:pStyle w:val="BulletList"/>
                          <w:numPr>
                            <w:ilvl w:val="0"/>
                            <w:numId w:val="8"/>
                          </w:numPr>
                        </w:pPr>
                        <w:r w:rsidRPr="002E210C">
                          <w:t>The ACA imposes PCORI fees on health insurers and self-insured plan sponsors.</w:t>
                        </w:r>
                      </w:p>
                      <w:p w:rsidR="0024208C" w:rsidRDefault="008D0AE7" w:rsidP="00431B1C">
                        <w:pPr>
                          <w:pStyle w:val="BulletList"/>
                          <w:numPr>
                            <w:ilvl w:val="0"/>
                            <w:numId w:val="8"/>
                          </w:numPr>
                        </w:pPr>
                        <w:r>
                          <w:t xml:space="preserve">The fee </w:t>
                        </w:r>
                        <w:r w:rsidR="00837917">
                          <w:t xml:space="preserve">originally </w:t>
                        </w:r>
                        <w:r>
                          <w:t>applie</w:t>
                        </w:r>
                        <w:r w:rsidR="00837917">
                          <w:t>d</w:t>
                        </w:r>
                        <w:r>
                          <w:t xml:space="preserve"> to policy or plan years ending on or after Oct. 1, 2012, and before Oct. 1, 2019.</w:t>
                        </w:r>
                        <w:r w:rsidR="00837917">
                          <w:t xml:space="preserve"> </w:t>
                        </w:r>
                        <w:r w:rsidR="00837917" w:rsidRPr="00837917">
                          <w:rPr>
                            <w:b/>
                          </w:rPr>
                          <w:t>However, it was extended to apply through the 2029 fiscal year</w:t>
                        </w:r>
                        <w:r w:rsidR="00837917">
                          <w:t>.</w:t>
                        </w:r>
                      </w:p>
                      <w:p w:rsidR="004A2196" w:rsidRPr="00526C74" w:rsidRDefault="008D0AE7" w:rsidP="00431B1C">
                        <w:pPr>
                          <w:pStyle w:val="BulletList"/>
                          <w:numPr>
                            <w:ilvl w:val="0"/>
                            <w:numId w:val="8"/>
                          </w:numPr>
                        </w:pPr>
                        <w:r w:rsidRPr="00E35D2E">
                          <w:t>The fee is paid by July 31 of each year using IRS Form 720.</w:t>
                        </w:r>
                      </w:p>
                    </w:txbxContent>
                  </v:textbox>
                </v:shape>
              </v:group>
            </w:pict>
          </mc:Fallback>
        </mc:AlternateContent>
      </w:r>
      <w:r>
        <w:rPr>
          <w:noProof/>
        </w:rPr>
        <w:t>FAQs on the</w:t>
      </w:r>
      <w:r w:rsidR="00E1040F">
        <w:t xml:space="preserve"> </w:t>
      </w:r>
      <w:r w:rsidR="00431B1C">
        <w:t>PCORI Fee</w:t>
      </w:r>
      <w:r w:rsidR="00D62A04">
        <w:t>s</w:t>
      </w:r>
    </w:p>
    <w:p w:rsidR="009233E3" w:rsidRPr="005B0F71" w:rsidRDefault="008D0AE7" w:rsidP="009233E3">
      <w:pPr>
        <w:pStyle w:val="BodyText"/>
      </w:pPr>
      <w:r>
        <w:t>The Affordable Care Act (ACA) imposes a fee on health insurance issuers and plan sponsors of self-insured health plans to help fund the Patient-Centered Outcome</w:t>
      </w:r>
      <w:r>
        <w:t>s Research Institute. The fee, called the Patient-Centered Outcomes Research Institute (PCORI) fee, is calculated based on the average number of lives covered under the policy or plan.</w:t>
      </w:r>
    </w:p>
    <w:p w:rsidR="00E95E6B" w:rsidRPr="00E95E6B" w:rsidRDefault="008D0AE7" w:rsidP="009233E3">
      <w:pPr>
        <w:pStyle w:val="BodyText"/>
        <w:spacing w:before="200"/>
      </w:pPr>
      <w:r>
        <w:t xml:space="preserve">A </w:t>
      </w:r>
      <w:r w:rsidRPr="0007474F">
        <w:t>federal</w:t>
      </w:r>
      <w:r w:rsidRPr="002D5D76">
        <w:t xml:space="preserve"> </w:t>
      </w:r>
      <w:hyperlink r:id="rId10" w:history="1">
        <w:r w:rsidRPr="002D5D76">
          <w:rPr>
            <w:rStyle w:val="Hyperlink"/>
          </w:rPr>
          <w:t>spending bill</w:t>
        </w:r>
      </w:hyperlink>
      <w:r w:rsidRPr="0007474F">
        <w:t xml:space="preserve"> </w:t>
      </w:r>
      <w:r>
        <w:t xml:space="preserve">enacted at the end of 2019 </w:t>
      </w:r>
      <w:r w:rsidRPr="00084E5A">
        <w:rPr>
          <w:b/>
        </w:rPr>
        <w:t>extended the PCORI fees for an additional 10 years</w:t>
      </w:r>
      <w:r>
        <w:t xml:space="preserve">. As a result, these fees will continue to apply for the </w:t>
      </w:r>
      <w:r w:rsidRPr="00084E5A">
        <w:rPr>
          <w:b/>
        </w:rPr>
        <w:t>2020-2029 fiscal years</w:t>
      </w:r>
      <w:r>
        <w:t>.</w:t>
      </w:r>
      <w:r w:rsidR="009233E3" w:rsidRPr="00AC506A">
        <w:t xml:space="preserve"> The PCORI fee is filed using </w:t>
      </w:r>
      <w:hyperlink r:id="rId11" w:history="1">
        <w:r w:rsidR="009233E3" w:rsidRPr="00AC506A">
          <w:rPr>
            <w:rStyle w:val="Hyperlink"/>
          </w:rPr>
          <w:t>IRS Form 720</w:t>
        </w:r>
      </w:hyperlink>
      <w:r w:rsidR="009233E3" w:rsidRPr="00AC506A">
        <w:t xml:space="preserve">, </w:t>
      </w:r>
      <w:r w:rsidR="009233E3" w:rsidRPr="00AC506A">
        <w:rPr>
          <w:i/>
        </w:rPr>
        <w:t>Quarterly Federal Excise Tax Return</w:t>
      </w:r>
      <w:r w:rsidR="009233E3" w:rsidRPr="00AC506A">
        <w:t xml:space="preserve">. Although Form 720 is a quarterly return, for PCORI fees, Form 720 must be filed annually only, by </w:t>
      </w:r>
      <w:r w:rsidR="009233E3" w:rsidRPr="00AC506A">
        <w:rPr>
          <w:b/>
        </w:rPr>
        <w:t>July 31 of each year</w:t>
      </w:r>
      <w:r w:rsidR="009233E3" w:rsidRPr="00AC506A">
        <w:t>.</w:t>
      </w:r>
      <w:r w:rsidR="009233E3" w:rsidRPr="008F6F04">
        <w:rPr>
          <w:noProof/>
        </w:rPr>
        <w:t xml:space="preserve"> </w:t>
      </w:r>
      <w:r w:rsidR="004A2196">
        <w:t>IRS instructions for filing Form 720 include information on reporting and paying the PCORI fee.</w:t>
      </w:r>
      <w:r w:rsidR="00431B1C" w:rsidRPr="008F6F04">
        <w:rPr>
          <w:noProof/>
        </w:rPr>
        <mc:AlternateContent>
          <mc:Choice Requires="wpg">
            <w:drawing>
              <wp:anchor distT="0" distB="0" distL="114300" distR="114300" simplePos="0" relativeHeight="251662336" behindDoc="1" locked="0" layoutInCell="1" allowOverlap="1">
                <wp:simplePos x="0" y="0"/>
                <wp:positionH relativeFrom="page">
                  <wp:posOffset>31750</wp:posOffset>
                </wp:positionH>
                <wp:positionV relativeFrom="page">
                  <wp:posOffset>5486400</wp:posOffset>
                </wp:positionV>
                <wp:extent cx="7740650" cy="2827020"/>
                <wp:effectExtent l="0" t="0" r="0" b="0"/>
                <wp:wrapNone/>
                <wp:docPr id="10" name="Group 10"/>
                <wp:cNvGraphicFramePr/>
                <a:graphic xmlns:a="http://schemas.openxmlformats.org/drawingml/2006/main">
                  <a:graphicData uri="http://schemas.microsoft.com/office/word/2010/wordprocessingGroup">
                    <wpg:wgp>
                      <wpg:cNvGrpSpPr/>
                      <wpg:grpSpPr>
                        <a:xfrm>
                          <a:off x="0" y="0"/>
                          <a:ext cx="7740650" cy="2827020"/>
                          <a:chOff x="31586" y="0"/>
                          <a:chExt cx="7740814" cy="2827251"/>
                        </a:xfrm>
                      </wpg:grpSpPr>
                      <wpg:grpSp>
                        <wpg:cNvPr id="8" name="Group 8"/>
                        <wpg:cNvGrpSpPr/>
                        <wpg:grpSpPr>
                          <a:xfrm>
                            <a:off x="31586" y="0"/>
                            <a:ext cx="7740814" cy="960135"/>
                            <a:chOff x="31586" y="0"/>
                            <a:chExt cx="7740814" cy="960135"/>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1586" y="327633"/>
                              <a:ext cx="7740814" cy="632502"/>
                            </a:xfrm>
                            <a:prstGeom prst="rect">
                              <a:avLst/>
                            </a:prstGeom>
                          </pic:spPr>
                        </pic:pic>
                        <wps:wsp>
                          <wps:cNvPr id="12" name="Text Box 2"/>
                          <wps:cNvSpPr txBox="1">
                            <a:spLocks noChangeArrowheads="1"/>
                          </wps:cNvSpPr>
                          <wps:spPr bwMode="auto">
                            <a:xfrm>
                              <a:off x="5021580" y="0"/>
                              <a:ext cx="2527384" cy="329565"/>
                            </a:xfrm>
                            <a:prstGeom prst="rect">
                              <a:avLst/>
                            </a:prstGeom>
                            <a:noFill/>
                            <a:ln w="9525">
                              <a:noFill/>
                              <a:miter lim="800000"/>
                              <a:headEnd/>
                              <a:tailEnd/>
                            </a:ln>
                          </wps:spPr>
                          <wps:txbx>
                            <w:txbxContent>
                              <w:p w:rsidR="00677DD4" w:rsidRPr="00B27C10" w:rsidRDefault="008D0AE7" w:rsidP="00036D4E">
                                <w:pPr>
                                  <w:pStyle w:val="SectionedHeader"/>
                                </w:pPr>
                                <w:r>
                                  <w:t>PCORI Fee FAQs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rsidR="004A2196" w:rsidRPr="00E35D2E" w:rsidRDefault="008D0AE7" w:rsidP="004A2196">
                              <w:pPr>
                                <w:pStyle w:val="H-BulletList"/>
                                <w:numPr>
                                  <w:ilvl w:val="0"/>
                                  <w:numId w:val="13"/>
                                </w:numPr>
                                <w:spacing w:before="0" w:after="60"/>
                              </w:pPr>
                              <w:r>
                                <w:t>The IRS issued FAQs on the PCORI fee to assist issuers and plan sponsors.</w:t>
                              </w:r>
                            </w:p>
                            <w:p w:rsidR="00677DD4" w:rsidRDefault="008D0AE7" w:rsidP="004A2196">
                              <w:pPr>
                                <w:pStyle w:val="BulletList"/>
                                <w:numPr>
                                  <w:ilvl w:val="0"/>
                                  <w:numId w:val="13"/>
                                </w:numPr>
                              </w:pPr>
                              <w:r>
                                <w:t>The FAQs provide information related to calculating the PCORI fee, applicable due dates and correcting Form 720.</w:t>
                              </w:r>
                            </w:p>
                          </w:txbxContent>
                        </wps:txbx>
                        <wps:bodyPr rot="0" vert="horz" wrap="square" anchor="t" anchorCtr="0"/>
                      </wps:wsp>
                    </wpg:wgp>
                  </a:graphicData>
                </a:graphic>
                <wp14:sizeRelH relativeFrom="margin">
                  <wp14:pctWidth>0</wp14:pctWidth>
                </wp14:sizeRelH>
              </wp:anchor>
            </w:drawing>
          </mc:Choice>
          <mc:Fallback>
            <w:pict>
              <v:group id="Group 10" o:spid="_x0000_s1031" style="position:absolute;left:0;text-align:left;margin-left:2.5pt;margin-top:6in;width:609.5pt;height:222.6pt;z-index:-251654144;mso-position-horizontal-relative:page;mso-position-vertical-relative:page;mso-width-relative:margin" coordorigin="315" coordsize="77408,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">
                <v:group id="Group 8" o:spid="_x0000_s1032" style="position:absolute;left:315;width:77409;height:9601" coordorigin="315" coordsize="77408,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3" type="#_x0000_t75" style="position:absolute;left:315;top:3276;width:77409;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">
                    <v:imagedata r:id="rId9" o:title=""/>
                  </v:shape>
                  <v:shape id="Text Box 2" o:spid="_x0000_s1034" type="#_x0000_t202" style="position:absolute;left:50215;width:25274;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677DD4" w:rsidRPr="00B27C10" w:rsidRDefault="008D0AE7" w:rsidP="00036D4E">
                          <w:pPr>
                            <w:pStyle w:val="SectionedHeader"/>
                          </w:pPr>
                          <w:r>
                            <w:t>PCORI Fee FAQs</w:t>
                          </w:r>
                        </w:p>
                      </w:txbxContent>
                    </v:textbox>
                  </v:shape>
                </v:group>
                <v:shape id="Text Box 2" o:spid="_x0000_s1035"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A2196" w:rsidRPr="00E35D2E" w:rsidRDefault="008D0AE7" w:rsidP="004A2196">
                        <w:pPr>
                          <w:pStyle w:val="H-BulletList"/>
                          <w:numPr>
                            <w:ilvl w:val="0"/>
                            <w:numId w:val="13"/>
                          </w:numPr>
                          <w:spacing w:before="0" w:after="60"/>
                        </w:pPr>
                        <w:r>
                          <w:t>The IRS issued FAQs on the PCORI fee to assist issuers and plan sponsors.</w:t>
                        </w:r>
                      </w:p>
                      <w:p w:rsidR="00677DD4" w:rsidRDefault="008D0AE7" w:rsidP="004A2196">
                        <w:pPr>
                          <w:pStyle w:val="BulletList"/>
                          <w:numPr>
                            <w:ilvl w:val="0"/>
                            <w:numId w:val="13"/>
                          </w:numPr>
                        </w:pPr>
                        <w:r>
                          <w:t>The FAQs provide information related to calculating the PCORI fee, applicable due dates and correcting Form 720.</w:t>
                        </w:r>
                      </w:p>
                    </w:txbxContent>
                  </v:textbox>
                </v:shape>
                <w10:wrap anchorx="page" anchory="page"/>
              </v:group>
            </w:pict>
          </mc:Fallback>
        </mc:AlternateContent>
      </w:r>
    </w:p>
    <w:p w:rsidR="00500B71" w:rsidRPr="008F6F04" w:rsidRDefault="008D0AE7" w:rsidP="00431B1C">
      <w:pPr>
        <w:pStyle w:val="BodyText"/>
        <w:sectPr w:rsidR="00500B71" w:rsidRPr="008F6F04" w:rsidSect="008A7E71">
          <w:headerReference w:type="default" r:id="rId12"/>
          <w:footerReference w:type="default" r:id="rId13"/>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4384" behindDoc="0" locked="0" layoutInCell="1" allowOverlap="1">
                <wp:simplePos x="0" y="0"/>
                <wp:positionH relativeFrom="margin">
                  <wp:posOffset>-21590</wp:posOffset>
                </wp:positionH>
                <wp:positionV relativeFrom="page">
                  <wp:posOffset>5789133</wp:posOffset>
                </wp:positionV>
                <wp:extent cx="4361180" cy="2498725"/>
                <wp:effectExtent l="0" t="0" r="1270"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2498725"/>
                        </a:xfrm>
                        <a:prstGeom prst="rect">
                          <a:avLst/>
                        </a:prstGeom>
                        <a:solidFill>
                          <a:srgbClr val="CE2C43">
                            <a:alpha val="10000"/>
                          </a:srgbClr>
                        </a:solidFill>
                        <a:ln w="38100">
                          <a:noFill/>
                          <a:miter lim="800000"/>
                          <a:headEnd/>
                          <a:tailEnd/>
                        </a:ln>
                      </wps:spPr>
                      <wps:txbx>
                        <w:txbxContent>
                          <w:p w:rsidR="008C01A9" w:rsidRPr="00036D4E" w:rsidRDefault="008D0AE7" w:rsidP="00A95ADA">
                            <w:pPr>
                              <w:pStyle w:val="LR-Heading"/>
                            </w:pPr>
                            <w:r w:rsidRPr="00036D4E">
                              <w:t>Links and Resources</w:t>
                            </w:r>
                          </w:p>
                          <w:p w:rsidR="00431B1C" w:rsidRDefault="008D0AE7" w:rsidP="00431B1C">
                            <w:pPr>
                              <w:pStyle w:val="BodyText"/>
                            </w:pPr>
                            <w:r>
                              <w:t>Please see the following IRS resources for more information on the ACA’s PCORI fees:</w:t>
                            </w:r>
                          </w:p>
                          <w:p w:rsidR="00431B1C" w:rsidRDefault="008D0AE7" w:rsidP="00431B1C">
                            <w:pPr>
                              <w:pStyle w:val="BulletList"/>
                              <w:numPr>
                                <w:ilvl w:val="0"/>
                                <w:numId w:val="9"/>
                              </w:numPr>
                            </w:pPr>
                            <w:hyperlink r:id="rId14" w:history="1">
                              <w:r w:rsidR="00274774" w:rsidRPr="00DA66E0">
                                <w:rPr>
                                  <w:rStyle w:val="Hyperlink"/>
                                </w:rPr>
                                <w:t>Final regulations</w:t>
                              </w:r>
                            </w:hyperlink>
                            <w:r w:rsidR="00274774">
                              <w:t xml:space="preserve"> on the PCORI fees</w:t>
                            </w:r>
                          </w:p>
                          <w:p w:rsidR="00431B1C" w:rsidRDefault="008D0AE7" w:rsidP="00431B1C">
                            <w:pPr>
                              <w:pStyle w:val="BulletList"/>
                              <w:numPr>
                                <w:ilvl w:val="0"/>
                                <w:numId w:val="9"/>
                              </w:numPr>
                            </w:pPr>
                            <w:hyperlink r:id="rId15" w:history="1">
                              <w:r w:rsidR="00274774" w:rsidRPr="00DA66E0">
                                <w:rPr>
                                  <w:rStyle w:val="Hyperlink"/>
                                </w:rPr>
                                <w:t>PCORI Fee Overview Page</w:t>
                              </w:r>
                            </w:hyperlink>
                          </w:p>
                          <w:p w:rsidR="00431B1C" w:rsidRDefault="008D0AE7" w:rsidP="00431B1C">
                            <w:pPr>
                              <w:pStyle w:val="BulletList"/>
                              <w:numPr>
                                <w:ilvl w:val="0"/>
                                <w:numId w:val="9"/>
                              </w:numPr>
                            </w:pPr>
                            <w:hyperlink r:id="rId16" w:history="1">
                              <w:r w:rsidR="00274774" w:rsidRPr="00DA66E0">
                                <w:rPr>
                                  <w:rStyle w:val="Hyperlink"/>
                                </w:rPr>
                                <w:t>PCORI Fee: Questions and Answers</w:t>
                              </w:r>
                            </w:hyperlink>
                          </w:p>
                          <w:p w:rsidR="00431B1C" w:rsidRDefault="008D0AE7" w:rsidP="00431B1C">
                            <w:pPr>
                              <w:pStyle w:val="BulletList"/>
                              <w:numPr>
                                <w:ilvl w:val="0"/>
                                <w:numId w:val="9"/>
                              </w:numPr>
                            </w:pPr>
                            <w:hyperlink r:id="rId17" w:history="1">
                              <w:r w:rsidR="00274774" w:rsidRPr="00DA66E0">
                                <w:rPr>
                                  <w:rStyle w:val="Hyperlink"/>
                                </w:rPr>
                                <w:t>IRS Form 720</w:t>
                              </w:r>
                            </w:hyperlink>
                            <w:r w:rsidR="00274774">
                              <w:t xml:space="preserve"> and </w:t>
                            </w:r>
                            <w:hyperlink r:id="rId18" w:history="1">
                              <w:r w:rsidR="00274774" w:rsidRPr="00DA66E0">
                                <w:rPr>
                                  <w:rStyle w:val="Hyperlink"/>
                                </w:rPr>
                                <w:t>instructions</w:t>
                              </w:r>
                            </w:hyperlink>
                          </w:p>
                          <w:p w:rsidR="008C01A9" w:rsidRDefault="008D0AE7" w:rsidP="00431B1C">
                            <w:pPr>
                              <w:pStyle w:val="BulletList"/>
                              <w:numPr>
                                <w:ilvl w:val="0"/>
                                <w:numId w:val="9"/>
                              </w:numPr>
                              <w:jc w:val="left"/>
                            </w:pPr>
                            <w:hyperlink r:id="rId19" w:history="1">
                              <w:r w:rsidR="00431B1C" w:rsidRPr="00DA66E0">
                                <w:rPr>
                                  <w:rStyle w:val="Hyperlink"/>
                                </w:rPr>
                                <w:t>PCORI Fee Due Dates and Applicable Rates</w:t>
                              </w:r>
                            </w:hyperlink>
                          </w:p>
                          <w:p w:rsidR="00431B1C" w:rsidRPr="007201D3" w:rsidRDefault="008D0AE7" w:rsidP="00431B1C">
                            <w:pPr>
                              <w:pStyle w:val="BulletList"/>
                              <w:numPr>
                                <w:ilvl w:val="0"/>
                                <w:numId w:val="9"/>
                              </w:numPr>
                              <w:jc w:val="left"/>
                            </w:pPr>
                            <w:r>
                              <w:t xml:space="preserve">A </w:t>
                            </w:r>
                            <w:r w:rsidRPr="0007474F">
                              <w:t>federal</w:t>
                            </w:r>
                            <w:r w:rsidRPr="002D5D76">
                              <w:t xml:space="preserve"> </w:t>
                            </w:r>
                            <w:hyperlink r:id="rId20" w:history="1">
                              <w:r w:rsidRPr="002D5D76">
                                <w:rPr>
                                  <w:rStyle w:val="Hyperlink"/>
                                </w:rPr>
                                <w:t>spending bill</w:t>
                              </w:r>
                            </w:hyperlink>
                            <w:r w:rsidRPr="0007474F">
                              <w:t xml:space="preserve"> </w:t>
                            </w:r>
                            <w:r>
                              <w:t xml:space="preserve">enacted at the end of 2019 </w:t>
                            </w:r>
                            <w:r w:rsidRPr="00837917">
                              <w:t>extended the PCORI fees</w:t>
                            </w:r>
                            <w:r>
                              <w:t xml:space="preserve"> to apply for the 2020-2029 fiscal years.</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1.7pt;margin-top:455.85pt;width:343.4pt;height:19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" fillcolor="#ce2c43" stroked="f" strokeweight="3pt">
                <v:fill opacity="6682f"/>
                <v:textbox inset=",0">
                  <w:txbxContent>
                    <w:p w:rsidR="008C01A9" w:rsidRPr="00036D4E" w:rsidRDefault="008D0AE7" w:rsidP="00A95ADA">
                      <w:pPr>
                        <w:pStyle w:val="LR-Heading"/>
                      </w:pPr>
                      <w:r w:rsidRPr="00036D4E">
                        <w:t>Links and Resources</w:t>
                      </w:r>
                    </w:p>
                    <w:p w:rsidR="00431B1C" w:rsidRDefault="008D0AE7" w:rsidP="00431B1C">
                      <w:pPr>
                        <w:pStyle w:val="BodyText"/>
                      </w:pPr>
                      <w:r>
                        <w:t>Please see the following IRS resources for more information on the ACA’s PCORI fees:</w:t>
                      </w:r>
                    </w:p>
                    <w:p w:rsidR="00431B1C" w:rsidRDefault="008D0AE7" w:rsidP="00431B1C">
                      <w:pPr>
                        <w:pStyle w:val="BulletList"/>
                        <w:numPr>
                          <w:ilvl w:val="0"/>
                          <w:numId w:val="9"/>
                        </w:numPr>
                      </w:pPr>
                      <w:hyperlink r:id="rId21" w:history="1">
                        <w:r w:rsidR="00274774" w:rsidRPr="00DA66E0">
                          <w:rPr>
                            <w:rStyle w:val="Hyperlink"/>
                          </w:rPr>
                          <w:t>Final regulations</w:t>
                        </w:r>
                      </w:hyperlink>
                      <w:r w:rsidR="00274774">
                        <w:t xml:space="preserve"> on the PCORI fees</w:t>
                      </w:r>
                    </w:p>
                    <w:p w:rsidR="00431B1C" w:rsidRDefault="008D0AE7" w:rsidP="00431B1C">
                      <w:pPr>
                        <w:pStyle w:val="BulletList"/>
                        <w:numPr>
                          <w:ilvl w:val="0"/>
                          <w:numId w:val="9"/>
                        </w:numPr>
                      </w:pPr>
                      <w:hyperlink r:id="rId22" w:history="1">
                        <w:r w:rsidR="00274774" w:rsidRPr="00DA66E0">
                          <w:rPr>
                            <w:rStyle w:val="Hyperlink"/>
                          </w:rPr>
                          <w:t>PCORI Fee Overview Page</w:t>
                        </w:r>
                      </w:hyperlink>
                    </w:p>
                    <w:p w:rsidR="00431B1C" w:rsidRDefault="008D0AE7" w:rsidP="00431B1C">
                      <w:pPr>
                        <w:pStyle w:val="BulletList"/>
                        <w:numPr>
                          <w:ilvl w:val="0"/>
                          <w:numId w:val="9"/>
                        </w:numPr>
                      </w:pPr>
                      <w:hyperlink r:id="rId23" w:history="1">
                        <w:r w:rsidR="00274774" w:rsidRPr="00DA66E0">
                          <w:rPr>
                            <w:rStyle w:val="Hyperlink"/>
                          </w:rPr>
                          <w:t>PCORI Fee: Questions and Answers</w:t>
                        </w:r>
                      </w:hyperlink>
                    </w:p>
                    <w:p w:rsidR="00431B1C" w:rsidRDefault="008D0AE7" w:rsidP="00431B1C">
                      <w:pPr>
                        <w:pStyle w:val="BulletList"/>
                        <w:numPr>
                          <w:ilvl w:val="0"/>
                          <w:numId w:val="9"/>
                        </w:numPr>
                      </w:pPr>
                      <w:hyperlink r:id="rId24" w:history="1">
                        <w:r w:rsidR="00274774" w:rsidRPr="00DA66E0">
                          <w:rPr>
                            <w:rStyle w:val="Hyperlink"/>
                          </w:rPr>
                          <w:t>IRS Form 720</w:t>
                        </w:r>
                      </w:hyperlink>
                      <w:r w:rsidR="00274774">
                        <w:t xml:space="preserve"> and </w:t>
                      </w:r>
                      <w:hyperlink r:id="rId25" w:history="1">
                        <w:r w:rsidR="00274774" w:rsidRPr="00DA66E0">
                          <w:rPr>
                            <w:rStyle w:val="Hyperlink"/>
                          </w:rPr>
                          <w:t>instructions</w:t>
                        </w:r>
                      </w:hyperlink>
                    </w:p>
                    <w:p w:rsidR="008C01A9" w:rsidRDefault="008D0AE7" w:rsidP="00431B1C">
                      <w:pPr>
                        <w:pStyle w:val="BulletList"/>
                        <w:numPr>
                          <w:ilvl w:val="0"/>
                          <w:numId w:val="9"/>
                        </w:numPr>
                        <w:jc w:val="left"/>
                      </w:pPr>
                      <w:hyperlink r:id="rId26" w:history="1">
                        <w:r w:rsidR="00431B1C" w:rsidRPr="00DA66E0">
                          <w:rPr>
                            <w:rStyle w:val="Hyperlink"/>
                          </w:rPr>
                          <w:t>PCORI Fee Due Dates and Applicable Rates</w:t>
                        </w:r>
                      </w:hyperlink>
                    </w:p>
                    <w:p w:rsidR="00431B1C" w:rsidRPr="007201D3" w:rsidRDefault="008D0AE7" w:rsidP="00431B1C">
                      <w:pPr>
                        <w:pStyle w:val="BulletList"/>
                        <w:numPr>
                          <w:ilvl w:val="0"/>
                          <w:numId w:val="9"/>
                        </w:numPr>
                        <w:jc w:val="left"/>
                      </w:pPr>
                      <w:r>
                        <w:t xml:space="preserve">A </w:t>
                      </w:r>
                      <w:r w:rsidRPr="0007474F">
                        <w:t>federal</w:t>
                      </w:r>
                      <w:r w:rsidRPr="002D5D76">
                        <w:t xml:space="preserve"> </w:t>
                      </w:r>
                      <w:hyperlink r:id="rId27" w:history="1">
                        <w:r w:rsidRPr="002D5D76">
                          <w:rPr>
                            <w:rStyle w:val="Hyperlink"/>
                          </w:rPr>
                          <w:t>spending bill</w:t>
                        </w:r>
                      </w:hyperlink>
                      <w:r w:rsidRPr="0007474F">
                        <w:t xml:space="preserve"> </w:t>
                      </w:r>
                      <w:r>
                        <w:t xml:space="preserve">enacted at the end of 2019 </w:t>
                      </w:r>
                      <w:r w:rsidRPr="00837917">
                        <w:t>extended the PCORI fees</w:t>
                      </w:r>
                      <w:r>
                        <w:t xml:space="preserve"> to apply for the 2020-2029 fiscal years.</w:t>
                      </w:r>
                    </w:p>
                  </w:txbxContent>
                </v:textbox>
                <w10:wrap type="topAndBottom" anchorx="margin" anchory="page"/>
              </v:shape>
            </w:pict>
          </mc:Fallback>
        </mc:AlternateContent>
      </w:r>
      <w:r w:rsidR="004A2196" w:rsidRPr="00E35D2E">
        <w:rPr>
          <w:noProof/>
        </w:rPr>
        <w:t xml:space="preserve">This ACA Overview includes a set of </w:t>
      </w:r>
      <w:hyperlink r:id="rId28" w:history="1">
        <w:r w:rsidR="004A2196" w:rsidRPr="00E35D2E">
          <w:rPr>
            <w:rStyle w:val="Hyperlink"/>
            <w:b/>
            <w:noProof/>
          </w:rPr>
          <w:t>frequently asked questions</w:t>
        </w:r>
      </w:hyperlink>
      <w:r w:rsidR="004A2196" w:rsidRPr="00E35D2E">
        <w:rPr>
          <w:noProof/>
        </w:rPr>
        <w:t xml:space="preserve"> (FAQs) issued by the Internal Revenue Service (IRS) on the PCORI fee</w:t>
      </w:r>
      <w:r w:rsidR="009233E3">
        <w:t>.</w:t>
      </w:r>
      <w:r w:rsidR="000847AD" w:rsidRPr="008F6F04">
        <w:rPr>
          <w:noProof/>
        </w:rPr>
        <mc:AlternateContent>
          <mc:Choice Requires="wps">
            <w:drawing>
              <wp:anchor distT="0" distB="0" distL="114300" distR="114300" simplePos="0" relativeHeight="251660288" behindDoc="0" locked="0" layoutInCell="1" allowOverlap="1">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rsidR="00E6115F" w:rsidRPr="000847AD" w:rsidRDefault="008D0AE7" w:rsidP="00E6115F">
                            <w:pPr>
                              <w:pStyle w:val="Header"/>
                              <w:rPr>
                                <w:sz w:val="20"/>
                                <w:szCs w:val="20"/>
                              </w:rPr>
                            </w:pPr>
                            <w:r w:rsidRPr="000847AD">
                              <w:rPr>
                                <w:color w:val="595959" w:themeColor="text1" w:themeTint="A6"/>
                                <w:sz w:val="20"/>
                                <w:szCs w:val="20"/>
                              </w:rPr>
                              <w:t xml:space="preserve">Provided to you by </w:t>
                            </w:r>
                            <w:r>
                              <w:rPr>
                                <w:b/>
                                <w:color w:val="CE2C43"/>
                                <w:sz w:val="20"/>
                                <w:szCs w:val="20"/>
                              </w:rPr>
                              <w:t>PAA Insurance Agency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rsidR="00E6115F" w:rsidRPr="000847AD" w:rsidRDefault="008D0AE7" w:rsidP="00E6115F">
                      <w:pPr>
                        <w:pStyle w:val="Header"/>
                        <w:rPr>
                          <w:sz w:val="20"/>
                          <w:szCs w:val="20"/>
                        </w:rPr>
                      </w:pPr>
                      <w:r w:rsidRPr="000847AD">
                        <w:rPr>
                          <w:color w:val="595959" w:themeColor="text1" w:themeTint="A6"/>
                          <w:sz w:val="20"/>
                          <w:szCs w:val="20"/>
                        </w:rPr>
                        <w:t xml:space="preserve">Provided to you by </w:t>
                      </w:r>
                      <w:r>
                        <w:rPr>
                          <w:b/>
                          <w:color w:val="CE2C43"/>
                          <w:sz w:val="20"/>
                          <w:szCs w:val="20"/>
                        </w:rPr>
                        <w:t>PAA Insurance Agency</w:t>
                      </w:r>
                    </w:p>
                  </w:txbxContent>
                </v:textbox>
                <w10:wrap anchorx="margin" anchory="margin"/>
              </v:shape>
            </w:pict>
          </mc:Fallback>
        </mc:AlternateContent>
      </w:r>
    </w:p>
    <w:p w:rsidR="00C84C66" w:rsidRPr="008A7E71" w:rsidRDefault="008D0AE7" w:rsidP="00C84C66">
      <w:pPr>
        <w:pStyle w:val="MainTitle"/>
      </w:pPr>
      <w:r>
        <w:lastRenderedPageBreak/>
        <w:t>FAQs on the</w:t>
      </w:r>
      <w:r w:rsidR="00B143CD">
        <w:t xml:space="preserve"> </w:t>
      </w:r>
      <w:r w:rsidR="00431B1C">
        <w:t>PCORI Fee</w:t>
      </w:r>
      <w:r w:rsidR="00D62A04">
        <w:t>s</w:t>
      </w:r>
    </w:p>
    <w:p w:rsidR="004A2196" w:rsidRPr="003A270F" w:rsidRDefault="008D0AE7" w:rsidP="004A2196">
      <w:pPr>
        <w:pStyle w:val="SubHeader"/>
      </w:pPr>
      <w:r w:rsidRPr="003A270F">
        <w:t>Q1. What is the Patient-Centered Outcomes Research Trust Fund fee?</w:t>
      </w:r>
    </w:p>
    <w:p w:rsidR="004A2196" w:rsidRPr="003A270F" w:rsidRDefault="008D0AE7" w:rsidP="004A2196">
      <w:pPr>
        <w:pStyle w:val="BodyText"/>
      </w:pPr>
      <w:r w:rsidRPr="003A270F">
        <w:t xml:space="preserve">The </w:t>
      </w:r>
      <w:r>
        <w:t>PCORI</w:t>
      </w:r>
      <w:r w:rsidRPr="003A270F">
        <w:t xml:space="preserve"> fee is a fee on issuers of specified health insurance policies and plan sponsors of applicable self-insured health plans that helps to fund the Patient-Centered Outcomes Research Institute (PCORI). The institute will assist (through research, patients, cl</w:t>
      </w:r>
      <w:r w:rsidRPr="003A270F">
        <w:t>inicians, purchasers and policy-makers) in making informed health decisions by advancing the quality and relevance of evidence-based medicine. The institute will compile and distribute comparative clinical effectiveness research findings.</w:t>
      </w:r>
    </w:p>
    <w:p w:rsidR="004A2196" w:rsidRPr="003A270F" w:rsidRDefault="008D0AE7" w:rsidP="004A2196">
      <w:pPr>
        <w:pStyle w:val="SubHeader"/>
      </w:pPr>
      <w:r w:rsidRPr="003A270F">
        <w:t xml:space="preserve">Q2. When did the </w:t>
      </w:r>
      <w:r w:rsidRPr="00E35D2E">
        <w:t>PCORI fee go into effect?</w:t>
      </w:r>
    </w:p>
    <w:p w:rsidR="004A2196" w:rsidRPr="003A270F" w:rsidRDefault="008D0AE7" w:rsidP="004A2196">
      <w:pPr>
        <w:pStyle w:val="BodyText"/>
      </w:pPr>
      <w:r>
        <w:t>T</w:t>
      </w:r>
      <w:r w:rsidRPr="009A0DC9">
        <w:t xml:space="preserve">he PCORI fees </w:t>
      </w:r>
      <w:r>
        <w:t xml:space="preserve">were originally scheduled to </w:t>
      </w:r>
      <w:r w:rsidRPr="009A0DC9">
        <w:t xml:space="preserve">apply for </w:t>
      </w:r>
      <w:r w:rsidRPr="00837917">
        <w:t>plan years ending on or after Oct. 1, 2012</w:t>
      </w:r>
      <w:r w:rsidRPr="009A0DC9">
        <w:t xml:space="preserve">, but </w:t>
      </w:r>
      <w:r w:rsidRPr="009A0DC9">
        <w:rPr>
          <w:i/>
        </w:rPr>
        <w:t>not</w:t>
      </w:r>
      <w:r w:rsidRPr="009A0DC9">
        <w:t xml:space="preserve"> for </w:t>
      </w:r>
      <w:r w:rsidRPr="00837917">
        <w:t>plan years ending on or after Oct. 1, 2019</w:t>
      </w:r>
      <w:r w:rsidRPr="009A0DC9">
        <w:t xml:space="preserve">. </w:t>
      </w:r>
      <w:r>
        <w:t xml:space="preserve">However, a </w:t>
      </w:r>
      <w:r w:rsidRPr="0007474F">
        <w:t>federal</w:t>
      </w:r>
      <w:r w:rsidRPr="002D5D76">
        <w:t xml:space="preserve"> </w:t>
      </w:r>
      <w:hyperlink r:id="rId29" w:history="1">
        <w:r w:rsidRPr="002D5D76">
          <w:rPr>
            <w:rStyle w:val="Hyperlink"/>
          </w:rPr>
          <w:t>spending bill</w:t>
        </w:r>
      </w:hyperlink>
      <w:r w:rsidRPr="0007474F">
        <w:t xml:space="preserve"> </w:t>
      </w:r>
      <w:r>
        <w:t xml:space="preserve">enacted at the end of 2019 </w:t>
      </w:r>
      <w:r w:rsidRPr="00084E5A">
        <w:rPr>
          <w:b/>
        </w:rPr>
        <w:t>extended the PCORI fees for an additional 10 years</w:t>
      </w:r>
      <w:r>
        <w:t xml:space="preserve">. As a result, these fees will continue to apply for the </w:t>
      </w:r>
      <w:r w:rsidRPr="00084E5A">
        <w:rPr>
          <w:b/>
        </w:rPr>
        <w:t>2020-2029 fiscal years</w:t>
      </w:r>
      <w:r>
        <w:t>.</w:t>
      </w:r>
    </w:p>
    <w:p w:rsidR="004A2196" w:rsidRPr="003A270F" w:rsidRDefault="008D0AE7" w:rsidP="004A2196">
      <w:pPr>
        <w:pStyle w:val="SubHeader"/>
      </w:pPr>
      <w:r w:rsidRPr="003A270F">
        <w:t>Q3. How much is the PCORI fee?</w:t>
      </w:r>
    </w:p>
    <w:p w:rsidR="004A2196" w:rsidRDefault="008D0AE7" w:rsidP="004A2196">
      <w:pPr>
        <w:pStyle w:val="BodyText"/>
      </w:pPr>
      <w:r w:rsidRPr="003A270F">
        <w:t xml:space="preserve">The amount of the PCORI fee </w:t>
      </w:r>
      <w:r w:rsidRPr="003A270F">
        <w:t>is equal to the average number of lives covered during the policy year or plan year multiplied by the applicable dollar amount for the year.</w:t>
      </w:r>
      <w:r w:rsidRPr="00AD10F6">
        <w:t xml:space="preserve"> </w:t>
      </w:r>
      <w:r>
        <w:t>T</w:t>
      </w:r>
      <w:r w:rsidRPr="00AD10F6">
        <w:t xml:space="preserve">he applicable dollar amount is adjusted </w:t>
      </w:r>
      <w:r>
        <w:t xml:space="preserve">each year </w:t>
      </w:r>
      <w:r w:rsidRPr="00AD10F6">
        <w:t>to reflect inflation in National Health Expenditures, as determi</w:t>
      </w:r>
      <w:r w:rsidRPr="00AD10F6">
        <w:t>ned by the Secretary of Health and Human Services.</w:t>
      </w:r>
    </w:p>
    <w:tbl>
      <w:tblPr>
        <w:tblW w:w="10188" w:type="dxa"/>
        <w:jc w:val="center"/>
        <w:tblLayout w:type="fixed"/>
        <w:tblLook w:val="04A0" w:firstRow="1" w:lastRow="0" w:firstColumn="1" w:lastColumn="0" w:noHBand="0" w:noVBand="1"/>
      </w:tblPr>
      <w:tblGrid>
        <w:gridCol w:w="1634"/>
        <w:gridCol w:w="454"/>
        <w:gridCol w:w="8100"/>
      </w:tblGrid>
      <w:tr w:rsidR="00F94BCE" w:rsidTr="00DA6EE9">
        <w:trPr>
          <w:jc w:val="center"/>
        </w:trPr>
        <w:tc>
          <w:tcPr>
            <w:tcW w:w="1634" w:type="dxa"/>
            <w:shd w:val="clear" w:color="auto" w:fill="auto"/>
            <w:vAlign w:val="center"/>
          </w:tcPr>
          <w:p w:rsidR="004A2196" w:rsidRPr="003F0AF0" w:rsidRDefault="008D0AE7" w:rsidP="00DA6EE9">
            <w:pPr>
              <w:pStyle w:val="T-Text"/>
              <w:spacing w:before="0" w:after="0"/>
              <w:jc w:val="center"/>
              <w:rPr>
                <w:b/>
              </w:rPr>
            </w:pPr>
            <w:r w:rsidRPr="003F0AF0">
              <w:rPr>
                <w:b/>
              </w:rPr>
              <w:t>The applicable dollar amounts are:</w:t>
            </w:r>
          </w:p>
        </w:tc>
        <w:tc>
          <w:tcPr>
            <w:tcW w:w="454" w:type="dxa"/>
            <w:shd w:val="clear" w:color="auto" w:fill="auto"/>
          </w:tcPr>
          <w:p w:rsidR="004A2196" w:rsidRDefault="008D0AE7" w:rsidP="00DA6EE9">
            <w:pPr>
              <w:pStyle w:val="T-Text"/>
              <w:spacing w:before="0" w:after="0"/>
            </w:pPr>
            <w:r>
              <w:rPr>
                <w:noProof/>
              </w:rPr>
              <mc:AlternateContent>
                <mc:Choice Requires="wps">
                  <w:drawing>
                    <wp:inline distT="0" distB="0" distL="0" distR="0">
                      <wp:extent cx="310101" cy="2072640"/>
                      <wp:effectExtent l="0" t="0" r="13970" b="22860"/>
                      <wp:docPr id="13" name="Left Brace 13"/>
                      <wp:cNvGraphicFramePr/>
                      <a:graphic xmlns:a="http://schemas.openxmlformats.org/drawingml/2006/main">
                        <a:graphicData uri="http://schemas.microsoft.com/office/word/2010/wordprocessingShape">
                          <wps:wsp>
                            <wps:cNvSpPr/>
                            <wps:spPr bwMode="auto">
                              <a:xfrm>
                                <a:off x="0" y="0"/>
                                <a:ext cx="310101" cy="2072640"/>
                              </a:xfrm>
                              <a:prstGeom prst="leftBrace">
                                <a:avLst>
                                  <a:gd name="adj1" fmla="val 49263"/>
                                  <a:gd name="adj2" fmla="val 50000"/>
                                </a:avLst>
                              </a:prstGeom>
                              <a:noFill/>
                              <a:ln w="9525">
                                <a:solidFill>
                                  <a:srgbClr val="CE2C43"/>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inline>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i1037" type="#_x0000_t87" style="width:24.4pt;height:163.2pt;mso-left-percent:-10001;mso-position-horizontal-relative:char;mso-position-vertical-relative:line;mso-top-percent:-10001;mso-wrap-style:square;v-text-anchor:top;visibility:visible" adj="1592" strokecolor="#ce2c43">
                      <w10:wrap type="none"/>
                      <w10:anchorlock/>
                    </v:shape>
                  </w:pict>
                </mc:Fallback>
              </mc:AlternateContent>
            </w:r>
          </w:p>
        </w:tc>
        <w:tc>
          <w:tcPr>
            <w:tcW w:w="8100" w:type="dxa"/>
            <w:shd w:val="clear" w:color="auto" w:fill="auto"/>
          </w:tcPr>
          <w:p w:rsidR="004A2196" w:rsidRPr="003A270F" w:rsidRDefault="008D0AE7" w:rsidP="004A2196">
            <w:pPr>
              <w:pStyle w:val="Bullet"/>
              <w:spacing w:after="0"/>
              <w:ind w:left="507"/>
            </w:pPr>
            <w:r w:rsidRPr="003F0AF0">
              <w:rPr>
                <w:b/>
              </w:rPr>
              <w:t>$1</w:t>
            </w:r>
            <w:r w:rsidRPr="003A270F">
              <w:t xml:space="preserve"> for plan years ending after Sept. 30, 2012, and before Oct. 1, 2013.</w:t>
            </w:r>
          </w:p>
          <w:p w:rsidR="004A2196" w:rsidRPr="003A270F" w:rsidRDefault="008D0AE7" w:rsidP="004A2196">
            <w:pPr>
              <w:pStyle w:val="Bullet"/>
              <w:spacing w:after="0"/>
              <w:ind w:left="507"/>
            </w:pPr>
            <w:r w:rsidRPr="003F0AF0">
              <w:rPr>
                <w:b/>
              </w:rPr>
              <w:t>$2</w:t>
            </w:r>
            <w:r w:rsidRPr="003A270F">
              <w:t xml:space="preserve"> for plan years ending after Sept. 30, 2013, and before Oct.1, 2014.</w:t>
            </w:r>
          </w:p>
          <w:p w:rsidR="004A2196" w:rsidRPr="003A270F" w:rsidRDefault="008D0AE7" w:rsidP="004A2196">
            <w:pPr>
              <w:pStyle w:val="Bullet"/>
              <w:spacing w:after="0"/>
              <w:ind w:left="507"/>
            </w:pPr>
            <w:r w:rsidRPr="003F0AF0">
              <w:rPr>
                <w:b/>
              </w:rPr>
              <w:t>$2.08</w:t>
            </w:r>
            <w:r w:rsidRPr="003A270F">
              <w:t xml:space="preserve"> for plan years endi</w:t>
            </w:r>
            <w:r w:rsidRPr="003A270F">
              <w:t>ng after Sept. 30, 2014, and before Oct. 1, 2015.</w:t>
            </w:r>
          </w:p>
          <w:p w:rsidR="004A2196" w:rsidRDefault="008D0AE7" w:rsidP="004A2196">
            <w:pPr>
              <w:pStyle w:val="Bullet"/>
              <w:spacing w:after="0"/>
              <w:ind w:left="507"/>
            </w:pPr>
            <w:r w:rsidRPr="003F0AF0">
              <w:rPr>
                <w:b/>
              </w:rPr>
              <w:t>$2.17</w:t>
            </w:r>
            <w:r w:rsidRPr="003A270F">
              <w:t xml:space="preserve"> for plan years ending after Sept. 30, 2015, and before Oct. 1, 2016.</w:t>
            </w:r>
          </w:p>
          <w:p w:rsidR="004A2196" w:rsidRDefault="008D0AE7" w:rsidP="004A2196">
            <w:pPr>
              <w:pStyle w:val="Bullet"/>
              <w:spacing w:after="0"/>
              <w:ind w:left="507"/>
            </w:pPr>
            <w:r>
              <w:rPr>
                <w:b/>
              </w:rPr>
              <w:t>$2.26</w:t>
            </w:r>
            <w:r w:rsidRPr="003A270F">
              <w:t xml:space="preserve"> for plan y</w:t>
            </w:r>
            <w:r>
              <w:t>ears ending after Sept. 30, 2016</w:t>
            </w:r>
            <w:r w:rsidRPr="003A270F">
              <w:t>, and before Oct. 1, 201</w:t>
            </w:r>
            <w:r>
              <w:t>7</w:t>
            </w:r>
            <w:r w:rsidRPr="003A270F">
              <w:t>.</w:t>
            </w:r>
          </w:p>
          <w:p w:rsidR="004A2196" w:rsidRDefault="008D0AE7" w:rsidP="004A2196">
            <w:pPr>
              <w:pStyle w:val="Bullet"/>
              <w:spacing w:after="0"/>
              <w:ind w:left="507"/>
            </w:pPr>
            <w:r w:rsidRPr="009A0DC9">
              <w:rPr>
                <w:b/>
              </w:rPr>
              <w:t>$2.</w:t>
            </w:r>
            <w:r>
              <w:rPr>
                <w:b/>
              </w:rPr>
              <w:t>39</w:t>
            </w:r>
            <w:r w:rsidRPr="009A0DC9">
              <w:t xml:space="preserve"> for plan years ending after Oct. 1, 201</w:t>
            </w:r>
            <w:r>
              <w:t>7</w:t>
            </w:r>
            <w:r w:rsidRPr="009A0DC9">
              <w:t xml:space="preserve">, and before Oct. 1, </w:t>
            </w:r>
            <w:r w:rsidRPr="00DD505E">
              <w:t>201</w:t>
            </w:r>
            <w:r>
              <w:t>8.</w:t>
            </w:r>
          </w:p>
          <w:p w:rsidR="004A2196" w:rsidRDefault="008D0AE7" w:rsidP="004A2196">
            <w:pPr>
              <w:pStyle w:val="Bullet"/>
              <w:spacing w:after="0"/>
              <w:ind w:left="507"/>
            </w:pPr>
            <w:r>
              <w:rPr>
                <w:b/>
              </w:rPr>
              <w:t>$2.45</w:t>
            </w:r>
            <w:r>
              <w:t xml:space="preserve"> for plan years ending after Oct. 1, 2018, and before Oct. 1, 2019.</w:t>
            </w:r>
          </w:p>
          <w:p w:rsidR="00A97008" w:rsidRDefault="008D0AE7" w:rsidP="004A2196">
            <w:pPr>
              <w:pStyle w:val="Bullet"/>
              <w:spacing w:after="0"/>
              <w:ind w:left="507"/>
            </w:pPr>
            <w:r>
              <w:rPr>
                <w:b/>
              </w:rPr>
              <w:t xml:space="preserve">$2.54 </w:t>
            </w:r>
            <w:r w:rsidRPr="00A97008">
              <w:t>for plan years ending after Oct. 1, 2019, and before Oct. 1, 2020.</w:t>
            </w:r>
          </w:p>
          <w:p w:rsidR="00274774" w:rsidRDefault="008D0AE7" w:rsidP="004A2196">
            <w:pPr>
              <w:pStyle w:val="Bullet"/>
              <w:spacing w:after="0"/>
              <w:ind w:left="507"/>
            </w:pPr>
            <w:r>
              <w:rPr>
                <w:b/>
              </w:rPr>
              <w:t xml:space="preserve">$2.66 </w:t>
            </w:r>
            <w:r>
              <w:t>for plan years ending after Oct. 1, 2020, and before Oct. 1, 2021.</w:t>
            </w:r>
          </w:p>
          <w:p w:rsidR="00CF73B5" w:rsidRDefault="008D0AE7" w:rsidP="004A2196">
            <w:pPr>
              <w:pStyle w:val="Bullet"/>
              <w:spacing w:after="0"/>
              <w:ind w:left="507"/>
            </w:pPr>
            <w:r>
              <w:rPr>
                <w:b/>
              </w:rPr>
              <w:t>$2.79</w:t>
            </w:r>
            <w:r>
              <w:t xml:space="preserve"> for </w:t>
            </w:r>
            <w:r w:rsidRPr="00F7066D">
              <w:t>plan years ending after Oct. 1, 20</w:t>
            </w:r>
            <w:r>
              <w:t>21</w:t>
            </w:r>
            <w:r w:rsidRPr="00F7066D">
              <w:t>, and before Oct. 1, 202</w:t>
            </w:r>
            <w:r>
              <w:t>2</w:t>
            </w:r>
            <w:r w:rsidRPr="00F7066D">
              <w:t>.</w:t>
            </w:r>
          </w:p>
          <w:p w:rsidR="00B92BA9" w:rsidRDefault="008D0AE7" w:rsidP="004A2196">
            <w:pPr>
              <w:pStyle w:val="Bullet"/>
              <w:spacing w:after="0"/>
              <w:ind w:left="507"/>
            </w:pPr>
            <w:r>
              <w:rPr>
                <w:b/>
              </w:rPr>
              <w:t xml:space="preserve">$3.00 </w:t>
            </w:r>
            <w:r>
              <w:rPr>
                <w:bCs/>
              </w:rPr>
              <w:t xml:space="preserve">for plan years ending after Oct. 1, 2022, and before Oct. 1, 2023. </w:t>
            </w:r>
          </w:p>
        </w:tc>
      </w:tr>
    </w:tbl>
    <w:p w:rsidR="004A2196" w:rsidRPr="003A270F" w:rsidRDefault="008D0AE7" w:rsidP="009C3C1D">
      <w:pPr>
        <w:pStyle w:val="SubHeader"/>
        <w:spacing w:before="160"/>
      </w:pPr>
      <w:r w:rsidRPr="003A270F">
        <w:t xml:space="preserve">Q4. How does an issuer of a specified health insurance policy or </w:t>
      </w:r>
      <w:r>
        <w:t xml:space="preserve">the </w:t>
      </w:r>
      <w:r w:rsidRPr="003A270F">
        <w:t>plan sponsor of an applicable self-insured health</w:t>
      </w:r>
      <w:r w:rsidRPr="003A270F">
        <w:t xml:space="preserve"> plan determine the average number of lives covered under the policy or plan in order to calculate the PCORI fee for the year?</w:t>
      </w:r>
    </w:p>
    <w:p w:rsidR="004A2196" w:rsidRPr="003A270F" w:rsidRDefault="008D0AE7" w:rsidP="004A2196">
      <w:pPr>
        <w:pStyle w:val="BodyText"/>
      </w:pPr>
      <w:r w:rsidRPr="003A270F">
        <w:t>The PCORI fee is imposed on an issuer of a specified health insurance policy and a plan sponsor of an applicable self-insured hea</w:t>
      </w:r>
      <w:r w:rsidRPr="003A270F">
        <w:t>lth plan</w:t>
      </w:r>
      <w:r>
        <w:t>,</w:t>
      </w:r>
      <w:r w:rsidRPr="003A270F">
        <w:t xml:space="preserve"> based on the average number of lives covered under the policy for the policy year or the plan for the plan year.</w:t>
      </w:r>
      <w:r>
        <w:t xml:space="preserve"> </w:t>
      </w:r>
      <w:r w:rsidRPr="003A270F">
        <w:t xml:space="preserve">The PCORI fee </w:t>
      </w:r>
      <w:hyperlink r:id="rId30" w:history="1">
        <w:r w:rsidRPr="003A270F">
          <w:rPr>
            <w:rStyle w:val="Hyperlink"/>
          </w:rPr>
          <w:t>final regulations</w:t>
        </w:r>
      </w:hyperlink>
      <w:r w:rsidRPr="003A270F">
        <w:t xml:space="preserve"> </w:t>
      </w:r>
      <w:r>
        <w:t>from</w:t>
      </w:r>
      <w:r w:rsidRPr="003A270F">
        <w:t xml:space="preserve"> Dec. 6, 2012</w:t>
      </w:r>
      <w:r>
        <w:t>,</w:t>
      </w:r>
      <w:r w:rsidRPr="003A270F">
        <w:t xml:space="preserve"> requ</w:t>
      </w:r>
      <w:r w:rsidRPr="003A270F">
        <w:t>ire:</w:t>
      </w:r>
    </w:p>
    <w:p w:rsidR="004A2196" w:rsidRPr="003A270F" w:rsidRDefault="008D0AE7" w:rsidP="009C3C1D">
      <w:pPr>
        <w:pStyle w:val="Bullet"/>
      </w:pPr>
      <w:r w:rsidRPr="003A270F">
        <w:t xml:space="preserve">Issuers of specified health insurance policies to use one of four alternative methods—the </w:t>
      </w:r>
      <w:r w:rsidRPr="003A270F">
        <w:rPr>
          <w:b/>
        </w:rPr>
        <w:t>actual count method</w:t>
      </w:r>
      <w:r w:rsidRPr="003A270F">
        <w:t xml:space="preserve">, the </w:t>
      </w:r>
      <w:r w:rsidRPr="003A270F">
        <w:rPr>
          <w:b/>
        </w:rPr>
        <w:t>snapshot method</w:t>
      </w:r>
      <w:r w:rsidRPr="003A270F">
        <w:t xml:space="preserve">, the </w:t>
      </w:r>
      <w:r w:rsidRPr="003A270F">
        <w:rPr>
          <w:b/>
        </w:rPr>
        <w:t>member months method</w:t>
      </w:r>
      <w:r w:rsidRPr="003A270F">
        <w:t xml:space="preserve"> or the </w:t>
      </w:r>
      <w:r w:rsidRPr="003A270F">
        <w:rPr>
          <w:b/>
        </w:rPr>
        <w:t>state form method</w:t>
      </w:r>
      <w:r w:rsidRPr="003A270F">
        <w:t>—to determine the average number of lives covered under a policy for a</w:t>
      </w:r>
      <w:r w:rsidRPr="003A270F">
        <w:t xml:space="preserve"> policy year.</w:t>
      </w:r>
    </w:p>
    <w:p w:rsidR="004A2196" w:rsidRPr="003A270F" w:rsidRDefault="008D0AE7" w:rsidP="009C3C1D">
      <w:pPr>
        <w:pStyle w:val="Bullet"/>
      </w:pPr>
      <w:r w:rsidRPr="003A270F">
        <w:lastRenderedPageBreak/>
        <w:t xml:space="preserve">Plan sponsors of applicable health plans to use one of three alternative methods—the </w:t>
      </w:r>
      <w:r w:rsidRPr="003A270F">
        <w:rPr>
          <w:b/>
        </w:rPr>
        <w:t>actual count method</w:t>
      </w:r>
      <w:r w:rsidRPr="003A270F">
        <w:t xml:space="preserve">, the </w:t>
      </w:r>
      <w:r w:rsidRPr="003A270F">
        <w:rPr>
          <w:b/>
        </w:rPr>
        <w:t>snapshot method</w:t>
      </w:r>
      <w:r w:rsidRPr="003A270F">
        <w:t xml:space="preserve"> or the </w:t>
      </w:r>
      <w:r w:rsidRPr="003A270F">
        <w:rPr>
          <w:b/>
        </w:rPr>
        <w:t>Form 5500 method</w:t>
      </w:r>
      <w:r w:rsidRPr="003A270F">
        <w:t>—to determine the average number of lives covered under the applicable self-insured health pl</w:t>
      </w:r>
      <w:r w:rsidRPr="003A270F">
        <w:t>an for a plan year.</w:t>
      </w:r>
    </w:p>
    <w:p w:rsidR="004A2196" w:rsidRPr="003A270F" w:rsidRDefault="008D0AE7" w:rsidP="004A2196">
      <w:pPr>
        <w:pStyle w:val="BodyText"/>
      </w:pPr>
      <w:r w:rsidRPr="003A270F">
        <w:t>The final regulations explain the available methods in detail.</w:t>
      </w:r>
      <w:r w:rsidR="00D16A46">
        <w:t xml:space="preserve"> In addition, </w:t>
      </w:r>
      <w:r w:rsidR="007E4497" w:rsidRPr="007E4497">
        <w:t xml:space="preserve">for plan years ending on or after Oct. 1, 2019, and before Oct. 1, 2020, IRS </w:t>
      </w:r>
      <w:hyperlink r:id="rId31" w:history="1">
        <w:r w:rsidR="007E4497" w:rsidRPr="007E4497">
          <w:rPr>
            <w:rStyle w:val="Hyperlink"/>
          </w:rPr>
          <w:t>Notice 2020-44</w:t>
        </w:r>
      </w:hyperlink>
      <w:r w:rsidR="007E4497" w:rsidRPr="007E4497">
        <w:t xml:space="preserve"> provides that issuers and plan sponsors may use </w:t>
      </w:r>
      <w:r w:rsidR="007E4497" w:rsidRPr="007E4497">
        <w:rPr>
          <w:b/>
        </w:rPr>
        <w:t>any reasonable method</w:t>
      </w:r>
      <w:r w:rsidR="007E4497" w:rsidRPr="007E4497">
        <w:t xml:space="preserve"> to make this calculation, so long as it is applied consistently for the duration of the plan year. </w:t>
      </w:r>
    </w:p>
    <w:p w:rsidR="004A2196" w:rsidRPr="003A270F" w:rsidRDefault="008D0AE7" w:rsidP="004A2196">
      <w:pPr>
        <w:pStyle w:val="SubHeader"/>
      </w:pPr>
      <w:r w:rsidRPr="003A270F">
        <w:t xml:space="preserve">Q5. Which individuals are taken into account for determining the lives covered under </w:t>
      </w:r>
      <w:r w:rsidRPr="003A270F">
        <w:t>a specified health insurance policy or applicable self-insured health plan?</w:t>
      </w:r>
    </w:p>
    <w:p w:rsidR="004A2196" w:rsidRPr="003A270F" w:rsidRDefault="008D0AE7" w:rsidP="004A2196">
      <w:pPr>
        <w:pStyle w:val="BodyText"/>
      </w:pPr>
      <w:r w:rsidRPr="003A270F">
        <w:t xml:space="preserve">Generally, all individuals who are covered during the policy year or plan year must be counted </w:t>
      </w:r>
      <w:r>
        <w:t>when</w:t>
      </w:r>
      <w:r w:rsidRPr="003A270F">
        <w:t xml:space="preserve"> calculating the average number of lives covered for that year. Thus, for example</w:t>
      </w:r>
      <w:r w:rsidRPr="003A270F">
        <w:t>, an applicable self-insured health plan must count an employee and his dependent child as two separate covered lives unless the plan is a health reimbursement arrangement (HRA) or flexible spending arrangement (FSA).</w:t>
      </w:r>
    </w:p>
    <w:p w:rsidR="004A2196" w:rsidRPr="003A270F" w:rsidRDefault="008D0AE7" w:rsidP="009C3C1D">
      <w:pPr>
        <w:pStyle w:val="SubHeader"/>
      </w:pPr>
      <w:r w:rsidRPr="003A270F">
        <w:t>Q6. If an employer provides COBRA cove</w:t>
      </w:r>
      <w:r w:rsidRPr="003A270F">
        <w:t>rage or otherwise provides coverage to its retirees or other former employees, do covered individuals (and their beneficiaries) count as ‘lives covered’ for purpose</w:t>
      </w:r>
      <w:r>
        <w:t>s</w:t>
      </w:r>
      <w:r w:rsidRPr="003A270F">
        <w:t xml:space="preserve"> of calculating the PCORI fee?</w:t>
      </w:r>
    </w:p>
    <w:p w:rsidR="004A2196" w:rsidRPr="003A270F" w:rsidRDefault="008D0AE7" w:rsidP="004A2196">
      <w:pPr>
        <w:pStyle w:val="BodyText"/>
      </w:pPr>
      <w:r w:rsidRPr="003A270F">
        <w:t xml:space="preserve">Yes. These covered individuals and their beneficiaries must </w:t>
      </w:r>
      <w:r w:rsidRPr="003A270F">
        <w:t xml:space="preserve">be taken into account </w:t>
      </w:r>
      <w:r>
        <w:t>when</w:t>
      </w:r>
      <w:r w:rsidRPr="003A270F">
        <w:t xml:space="preserve"> calculating the average number of lives covered.</w:t>
      </w:r>
    </w:p>
    <w:p w:rsidR="004A2196" w:rsidRPr="003A270F" w:rsidRDefault="008D0AE7" w:rsidP="009C3C1D">
      <w:pPr>
        <w:pStyle w:val="SubHeader"/>
      </w:pPr>
      <w:r w:rsidRPr="003A270F">
        <w:t>Q7. Who is responsible for reporting and paying the PCORI fee?</w:t>
      </w:r>
    </w:p>
    <w:p w:rsidR="004A2196" w:rsidRPr="003A270F" w:rsidRDefault="008D0AE7" w:rsidP="004A2196">
      <w:pPr>
        <w:pStyle w:val="BodyText"/>
      </w:pPr>
      <w:r w:rsidRPr="003A270F">
        <w:t>Issuers of specified health insurance policies and plan sponsors of applicable self-insured health plans are responsi</w:t>
      </w:r>
      <w:r w:rsidRPr="003A270F">
        <w:t>ble for reporting and paying the PCORI fee.</w:t>
      </w:r>
    </w:p>
    <w:p w:rsidR="004A2196" w:rsidRPr="003A270F" w:rsidRDefault="008D0AE7" w:rsidP="009C3C1D">
      <w:pPr>
        <w:pStyle w:val="SubHeader"/>
      </w:pPr>
      <w:r w:rsidRPr="003A270F">
        <w:t>Q8. What form will be used to report and pay the PCORI fee?</w:t>
      </w:r>
    </w:p>
    <w:p w:rsidR="004A2196" w:rsidRPr="003A270F" w:rsidRDefault="008D0AE7" w:rsidP="004A2196">
      <w:pPr>
        <w:pStyle w:val="BodyText"/>
      </w:pPr>
      <w:r w:rsidRPr="003A270F">
        <w:t xml:space="preserve">Issuers of specified health insurance policies and plan sponsors of applicable self-insured health plans will annually file </w:t>
      </w:r>
      <w:hyperlink r:id="rId32" w:history="1">
        <w:r w:rsidRPr="003A270F">
          <w:rPr>
            <w:rStyle w:val="Hyperlink"/>
          </w:rPr>
          <w:t>Form 720</w:t>
        </w:r>
      </w:hyperlink>
      <w:r w:rsidRPr="003A270F">
        <w:t xml:space="preserve">, </w:t>
      </w:r>
      <w:r w:rsidRPr="003A270F">
        <w:rPr>
          <w:i/>
        </w:rPr>
        <w:t>Quarterly Federal Excise Tax Return</w:t>
      </w:r>
      <w:r w:rsidRPr="003A270F">
        <w:t xml:space="preserve">, to report and pay the PCORI fee. Form 720 was revised to provide for the reporting and payment of the PCORI fee. The Form 720 </w:t>
      </w:r>
      <w:r>
        <w:t>is</w:t>
      </w:r>
      <w:r w:rsidRPr="003A270F">
        <w:t xml:space="preserve"> due on July 31 of the year following the last day of</w:t>
      </w:r>
      <w:r w:rsidRPr="003A270F">
        <w:t xml:space="preserve"> the policy year or plan year. Electronic filing is available, but is not required. Payment </w:t>
      </w:r>
      <w:r>
        <w:t>is</w:t>
      </w:r>
      <w:r w:rsidRPr="003A270F">
        <w:t xml:space="preserve"> due at the time the Form 720 is due. Deposits are not required for the PCORI fee.</w:t>
      </w:r>
    </w:p>
    <w:p w:rsidR="004A2196" w:rsidRPr="003A270F" w:rsidRDefault="008D0AE7" w:rsidP="009C3C1D">
      <w:pPr>
        <w:pStyle w:val="Bullet"/>
      </w:pPr>
      <w:r w:rsidRPr="003A270F">
        <w:t xml:space="preserve">Issuers and plan sponsors who are required to pay the PCORI fee, </w:t>
      </w:r>
      <w:r w:rsidRPr="003A270F">
        <w:rPr>
          <w:b/>
        </w:rPr>
        <w:t>but are not re</w:t>
      </w:r>
      <w:r w:rsidRPr="003A270F">
        <w:rPr>
          <w:b/>
        </w:rPr>
        <w:t>quired to report any other liabilities on a Form 720</w:t>
      </w:r>
      <w:r w:rsidRPr="003A270F">
        <w:t>, will be required to file a Form 720 only once a year. They will not be required to file a Form 720 for the other quarters of the year.</w:t>
      </w:r>
    </w:p>
    <w:p w:rsidR="004A2196" w:rsidRPr="00E35D2E" w:rsidRDefault="008D0AE7" w:rsidP="009C3C1D">
      <w:pPr>
        <w:pStyle w:val="Bullet"/>
      </w:pPr>
      <w:r w:rsidRPr="003A270F">
        <w:t xml:space="preserve">Issuers and plan sponsors who are required to pay the PCORI fee </w:t>
      </w:r>
      <w:r w:rsidRPr="003A270F">
        <w:rPr>
          <w:b/>
        </w:rPr>
        <w:t xml:space="preserve">as </w:t>
      </w:r>
      <w:r w:rsidRPr="003A270F">
        <w:rPr>
          <w:b/>
        </w:rPr>
        <w:t>well as other liabilities on a Form 720</w:t>
      </w:r>
      <w:r w:rsidRPr="003A270F">
        <w:t xml:space="preserve"> will use their Form 720 for the second quarter to report and pay the PCORI fee that is due July 31. Only one Form 720 should be filed for each quarter.</w:t>
      </w:r>
    </w:p>
    <w:p w:rsidR="004A2196" w:rsidRPr="003A270F" w:rsidRDefault="008D0AE7" w:rsidP="009C3C1D">
      <w:pPr>
        <w:pStyle w:val="SubHeader"/>
      </w:pPr>
      <w:r w:rsidRPr="003A270F">
        <w:t>Q9. What exceptions to the PCORI fee apply?</w:t>
      </w:r>
    </w:p>
    <w:p w:rsidR="004A2196" w:rsidRPr="00E35D2E" w:rsidRDefault="008D0AE7" w:rsidP="004A2196">
      <w:pPr>
        <w:pStyle w:val="BodyText"/>
      </w:pPr>
      <w:r w:rsidRPr="003A270F">
        <w:t>The PCORI fee does n</w:t>
      </w:r>
      <w:r w:rsidRPr="003A270F">
        <w:t>ot apply to exempt governmental programs, including Medicare, Medicaid, Children’s Health Insurance Program (CHIP) and any program established by federal law for providing medical care (other than through insurance policies) to members of the Armed Forces,</w:t>
      </w:r>
      <w:r w:rsidRPr="003A270F">
        <w:t xml:space="preserve"> veterans and members of Indian tribes (as defined in Section 4(d) of the Indian Health Care Improvement Act).</w:t>
      </w:r>
    </w:p>
    <w:p w:rsidR="004A2196" w:rsidRPr="00E35D2E" w:rsidRDefault="008D0AE7" w:rsidP="004A2196">
      <w:pPr>
        <w:pStyle w:val="BodyText"/>
      </w:pPr>
      <w:r w:rsidRPr="003A270F">
        <w:lastRenderedPageBreak/>
        <w:t xml:space="preserve">Also, health insurance policies and self-insured plans that provide only excepted benefits (such as plans that offer benefits limited to vision </w:t>
      </w:r>
      <w:r w:rsidRPr="003A270F">
        <w:t>or dental benefits and most FSAs) are not subject to the PCORI fee. Further, health insurance policies or self-insured plans that are limited to employee assistance programs, disease management programs or wellness programs are not subject to the PCORI fee</w:t>
      </w:r>
      <w:r w:rsidRPr="003A270F">
        <w:t xml:space="preserve"> if these programs do not provide significant benefits in the nature of medical care or treatment.</w:t>
      </w:r>
    </w:p>
    <w:p w:rsidR="004A2196" w:rsidRPr="003A270F" w:rsidRDefault="008D0AE7" w:rsidP="004A2196">
      <w:pPr>
        <w:pStyle w:val="BodyText"/>
      </w:pPr>
      <w:r w:rsidRPr="003A270F">
        <w:t>The PCORI fee applies only to policies and plans that cover individuals residing in the United States. Thus, the PCORI fee does not apply to policies and pla</w:t>
      </w:r>
      <w:r w:rsidRPr="003A270F">
        <w:t>ns that are designed specifically to cover employees who are working and residing outside the United States.</w:t>
      </w:r>
    </w:p>
    <w:p w:rsidR="004A2196" w:rsidRPr="003A270F" w:rsidRDefault="008D0AE7" w:rsidP="009C3C1D">
      <w:pPr>
        <w:pStyle w:val="SubHeader"/>
      </w:pPr>
      <w:r w:rsidRPr="003A270F">
        <w:t>Q10. Are health insurance policies or self-insured health plans for tax-exempt organizations or governmental entities subject to the PCORI fee?</w:t>
      </w:r>
    </w:p>
    <w:p w:rsidR="004A2196" w:rsidRPr="003A270F" w:rsidRDefault="008D0AE7" w:rsidP="004A2196">
      <w:pPr>
        <w:pStyle w:val="BodyText"/>
      </w:pPr>
      <w:r w:rsidRPr="003A270F">
        <w:t>Yes</w:t>
      </w:r>
      <w:r w:rsidRPr="003A270F">
        <w:t xml:space="preserve">. Unless the health insurance policy or self-insured health plan is an exempt governmental program described above, the policy or plan is a specified health insurance policy or applicable self-insured health plan subject to the PCORI fee and, accordingly, </w:t>
      </w:r>
      <w:r w:rsidRPr="003A270F">
        <w:t>the health insurance issuer or plan sponsor is responsible for the PCORI fee.</w:t>
      </w:r>
    </w:p>
    <w:p w:rsidR="004A2196" w:rsidRPr="003A270F" w:rsidRDefault="008D0AE7" w:rsidP="009C3C1D">
      <w:pPr>
        <w:pStyle w:val="SubHeader"/>
      </w:pPr>
      <w:r w:rsidRPr="003A270F">
        <w:t>Q11. When does the PCORI fee expire?</w:t>
      </w:r>
    </w:p>
    <w:p w:rsidR="004A2196" w:rsidRPr="003A270F" w:rsidRDefault="008D0AE7" w:rsidP="004A2196">
      <w:pPr>
        <w:pStyle w:val="BodyText"/>
      </w:pPr>
      <w:r>
        <w:t>T</w:t>
      </w:r>
      <w:r w:rsidRPr="009A0DC9">
        <w:t xml:space="preserve">he PCORI fees </w:t>
      </w:r>
      <w:r>
        <w:t xml:space="preserve">were originally scheduled to </w:t>
      </w:r>
      <w:r w:rsidRPr="009A0DC9">
        <w:t xml:space="preserve">apply for </w:t>
      </w:r>
      <w:r w:rsidRPr="00837917">
        <w:t>plan years ending on or after Oct. 1, 2012</w:t>
      </w:r>
      <w:r w:rsidRPr="009A0DC9">
        <w:t xml:space="preserve">, but </w:t>
      </w:r>
      <w:r w:rsidRPr="009A0DC9">
        <w:rPr>
          <w:i/>
        </w:rPr>
        <w:t>not</w:t>
      </w:r>
      <w:r w:rsidRPr="009A0DC9">
        <w:t xml:space="preserve"> for </w:t>
      </w:r>
      <w:r w:rsidRPr="00837917">
        <w:t xml:space="preserve">plan years ending on or after </w:t>
      </w:r>
      <w:r w:rsidRPr="00837917">
        <w:t>Oct. 1, 2019</w:t>
      </w:r>
      <w:r w:rsidRPr="009A0DC9">
        <w:t xml:space="preserve">. </w:t>
      </w:r>
      <w:r>
        <w:t xml:space="preserve">However, a </w:t>
      </w:r>
      <w:r w:rsidRPr="0007474F">
        <w:t>federal</w:t>
      </w:r>
      <w:r w:rsidRPr="002D5D76">
        <w:t xml:space="preserve"> </w:t>
      </w:r>
      <w:hyperlink r:id="rId33" w:history="1">
        <w:r w:rsidRPr="002D5D76">
          <w:rPr>
            <w:rStyle w:val="Hyperlink"/>
          </w:rPr>
          <w:t>spending bill</w:t>
        </w:r>
      </w:hyperlink>
      <w:r w:rsidRPr="0007474F">
        <w:t xml:space="preserve"> </w:t>
      </w:r>
      <w:r>
        <w:t xml:space="preserve">enacted at the end of 2019 </w:t>
      </w:r>
      <w:r w:rsidRPr="00084E5A">
        <w:rPr>
          <w:b/>
        </w:rPr>
        <w:t>extended the PCORI fees for an additional 10 years</w:t>
      </w:r>
      <w:r>
        <w:t>. As a result, these fees will continue to apply f</w:t>
      </w:r>
      <w:r>
        <w:t xml:space="preserve">or the </w:t>
      </w:r>
      <w:r w:rsidRPr="00084E5A">
        <w:rPr>
          <w:b/>
        </w:rPr>
        <w:t>2020-2029 fiscal years</w:t>
      </w:r>
      <w:r>
        <w:t>.</w:t>
      </w:r>
    </w:p>
    <w:p w:rsidR="004A2196" w:rsidRPr="003A270F" w:rsidRDefault="008D0AE7" w:rsidP="009C3C1D">
      <w:pPr>
        <w:pStyle w:val="SubHeader"/>
      </w:pPr>
      <w:r w:rsidRPr="003A270F">
        <w:t>Q12. Does the PCORI fee apply to an applicable self-insured health plan that has a short plan year?</w:t>
      </w:r>
    </w:p>
    <w:p w:rsidR="004A2196" w:rsidRPr="003A270F" w:rsidRDefault="008D0AE7" w:rsidP="004A2196">
      <w:pPr>
        <w:pStyle w:val="BodyText"/>
      </w:pPr>
      <w:r w:rsidRPr="003A270F">
        <w:t>Yes, the PCORI fee applies to a short plan year of an applicable self-insured health plan. A short plan year is a plan year t</w:t>
      </w:r>
      <w:r w:rsidRPr="003A270F">
        <w:t>hat spans fewer than 12 months, and may occur for a number of reasons. For example, a newly established applicable self-insured health plan that operates using a calendar year has a short plan year as its first year if it was established and began operatin</w:t>
      </w:r>
      <w:r w:rsidRPr="003A270F">
        <w:t>g beginning on a day other than Jan</w:t>
      </w:r>
      <w:r>
        <w:t>.</w:t>
      </w:r>
      <w:r w:rsidRPr="003A270F">
        <w:t xml:space="preserve"> 1. Similarly, a plan that operates with a fiscal plan year experiences a short plan year when its plan year is changed to a calendar year plan year.</w:t>
      </w:r>
    </w:p>
    <w:p w:rsidR="004A2196" w:rsidRPr="003A270F" w:rsidRDefault="008D0AE7" w:rsidP="009C3C1D">
      <w:pPr>
        <w:pStyle w:val="SubHeader"/>
      </w:pPr>
      <w:r w:rsidRPr="003A270F">
        <w:t>Q13. What is the PCORI fee for the short plan year?</w:t>
      </w:r>
    </w:p>
    <w:p w:rsidR="004A2196" w:rsidRPr="00E35D2E" w:rsidRDefault="008D0AE7" w:rsidP="004A2196">
      <w:pPr>
        <w:pStyle w:val="BodyText"/>
      </w:pPr>
      <w:r w:rsidRPr="003A270F">
        <w:t xml:space="preserve">The PCORI fee for </w:t>
      </w:r>
      <w:r w:rsidRPr="003A270F">
        <w:t>the short plan year of an applicable self-insured health plan is equal to the average number of lives covered during that plan year multiplied by the applicable dollar amount for that plan year. For example, the PCORI fee for an applicable self-insured hea</w:t>
      </w:r>
      <w:r w:rsidRPr="003A270F">
        <w:t>lth plan that has a short plan year that starts on April 1, 2013, and ends on Dec. 31, 2013, is equal to the average number of lives covered for April through Dec. 31, 2013, multiplied by $2 (the applicable dollar amount for plan years ending on or after O</w:t>
      </w:r>
      <w:r w:rsidRPr="003A270F">
        <w:t>ct. 1, 2013, but before Oct. 1, 2014).</w:t>
      </w:r>
    </w:p>
    <w:p w:rsidR="004A2196" w:rsidRPr="003A270F" w:rsidRDefault="008D0AE7" w:rsidP="009C3C1D">
      <w:pPr>
        <w:pStyle w:val="SubHeader"/>
      </w:pPr>
      <w:r w:rsidRPr="003A270F">
        <w:t>Q14. What is the PCORI fee due date for the short plan year?</w:t>
      </w:r>
    </w:p>
    <w:p w:rsidR="004A2196" w:rsidRPr="003A270F" w:rsidRDefault="008D0AE7" w:rsidP="004A2196">
      <w:pPr>
        <w:pStyle w:val="BodyText"/>
      </w:pPr>
      <w:r w:rsidRPr="003A270F">
        <w:t>The PCORI fee is due July 31 of the year following the last day of the plan year (including a short plan year).</w:t>
      </w:r>
    </w:p>
    <w:p w:rsidR="004A2196" w:rsidRPr="003A270F" w:rsidRDefault="008D0AE7" w:rsidP="009C3C1D">
      <w:pPr>
        <w:pStyle w:val="SubHeader"/>
      </w:pPr>
      <w:r w:rsidRPr="003A270F">
        <w:t>Q15. Can a plan sponsor or policy issuer tha</w:t>
      </w:r>
      <w:r w:rsidRPr="003A270F">
        <w:t>t overpaid the PCORI fee due July 31 reduce the PCORI fee due the following July 31 for the amount of the prior year’s overpayment?</w:t>
      </w:r>
    </w:p>
    <w:p w:rsidR="009C3C1D" w:rsidRPr="003A270F" w:rsidRDefault="008D0AE7" w:rsidP="004A2196">
      <w:pPr>
        <w:pStyle w:val="BodyText"/>
      </w:pPr>
      <w:r w:rsidRPr="003A270F">
        <w:t>No. Plan sponsors and policy issuers cannot reduce the PCORI fee due July 31 for any overpayment from a prior year. If a pla</w:t>
      </w:r>
      <w:r w:rsidRPr="003A270F">
        <w:t xml:space="preserve">n sponsor or policy issuer overpaid the PCORI fee reported on a previously filed Form 720, it should file </w:t>
      </w:r>
      <w:hyperlink r:id="rId34" w:history="1">
        <w:r w:rsidRPr="003A270F">
          <w:rPr>
            <w:rStyle w:val="Hyperlink"/>
          </w:rPr>
          <w:t>Form 720X</w:t>
        </w:r>
      </w:hyperlink>
      <w:r w:rsidRPr="003A270F">
        <w:t xml:space="preserve">, </w:t>
      </w:r>
      <w:r w:rsidRPr="003A270F">
        <w:rPr>
          <w:i/>
        </w:rPr>
        <w:lastRenderedPageBreak/>
        <w:t>Amended Quarterly Federal Excise Tax Return</w:t>
      </w:r>
      <w:r w:rsidRPr="003A270F">
        <w:t>,</w:t>
      </w:r>
      <w:r w:rsidRPr="003A270F">
        <w:t xml:space="preserve"> for an overpayment of a previously filed PCORI liability. Form 720X is available on </w:t>
      </w:r>
      <w:hyperlink r:id="rId35" w:history="1">
        <w:r w:rsidRPr="00CB1EA4">
          <w:rPr>
            <w:rStyle w:val="Hyperlink"/>
          </w:rPr>
          <w:t>www.IRS.gov</w:t>
        </w:r>
      </w:hyperlink>
      <w:r w:rsidRPr="003A270F">
        <w:t>.</w:t>
      </w:r>
    </w:p>
    <w:p w:rsidR="004A2196" w:rsidRPr="003A270F" w:rsidRDefault="008D0AE7" w:rsidP="009C3C1D">
      <w:pPr>
        <w:pStyle w:val="SubHeader"/>
      </w:pPr>
      <w:r w:rsidRPr="003A270F">
        <w:t>Q16. How should corrections be made to a previously filed Form 720</w:t>
      </w:r>
      <w:r>
        <w:t xml:space="preserve"> (for example, one that determined a fee using an incorre</w:t>
      </w:r>
      <w:r>
        <w:t>ct applicable dollar amount)</w:t>
      </w:r>
      <w:r w:rsidRPr="003A270F">
        <w:t>?</w:t>
      </w:r>
    </w:p>
    <w:p w:rsidR="00C84C66" w:rsidRDefault="008D0AE7" w:rsidP="004A2196">
      <w:pPr>
        <w:pStyle w:val="BodyText"/>
      </w:pPr>
      <w:r w:rsidRPr="003A270F">
        <w:t xml:space="preserve">A plan sponsor or policy issuer should make corrections to a previously filed Form 720 by filing a </w:t>
      </w:r>
      <w:hyperlink r:id="rId36" w:history="1">
        <w:r w:rsidRPr="003A270F">
          <w:rPr>
            <w:rStyle w:val="Hyperlink"/>
          </w:rPr>
          <w:t>Form 720X</w:t>
        </w:r>
      </w:hyperlink>
      <w:r w:rsidRPr="003A270F">
        <w:t xml:space="preserve">, </w:t>
      </w:r>
      <w:r w:rsidRPr="003A270F">
        <w:rPr>
          <w:i/>
        </w:rPr>
        <w:t>Amended Quarterly Fed</w:t>
      </w:r>
      <w:r w:rsidRPr="003A270F">
        <w:rPr>
          <w:i/>
        </w:rPr>
        <w:t>eral Excise Tax Return</w:t>
      </w:r>
      <w:r w:rsidRPr="003A270F">
        <w:t xml:space="preserve">, including adjustments that result in an overpayment. Form 720X may be filed anytime within the applicable limitation period. Form 720X is available on </w:t>
      </w:r>
      <w:hyperlink r:id="rId37" w:history="1">
        <w:r w:rsidR="009C3C1D" w:rsidRPr="00CB1EA4">
          <w:rPr>
            <w:rStyle w:val="Hyperlink"/>
          </w:rPr>
          <w:t>www.IRS.gov</w:t>
        </w:r>
      </w:hyperlink>
      <w:r w:rsidRPr="003A270F">
        <w:t>.</w:t>
      </w:r>
    </w:p>
    <w:p w:rsidR="009C3C1D" w:rsidRDefault="009C3C1D" w:rsidP="004A2196">
      <w:pPr>
        <w:pStyle w:val="BodyText"/>
      </w:pPr>
    </w:p>
    <w:p w:rsidR="009C3C1D" w:rsidRDefault="009C3C1D" w:rsidP="004A2196">
      <w:pPr>
        <w:pStyle w:val="BodyText"/>
      </w:pPr>
    </w:p>
    <w:p w:rsidR="009C3C1D" w:rsidRPr="009C3C1D" w:rsidRDefault="008D0AE7" w:rsidP="009C3C1D">
      <w:pPr>
        <w:pStyle w:val="BodyText"/>
        <w:jc w:val="right"/>
        <w:rPr>
          <w:i/>
        </w:rPr>
      </w:pPr>
      <w:r>
        <w:rPr>
          <w:i/>
        </w:rPr>
        <w:t xml:space="preserve">Source: Internal Revenue </w:t>
      </w:r>
      <w:r>
        <w:rPr>
          <w:i/>
        </w:rPr>
        <w:t>Service</w:t>
      </w:r>
    </w:p>
    <w:sectPr w:rsidR="009C3C1D" w:rsidRPr="009C3C1D" w:rsidSect="00C84C66">
      <w:headerReference w:type="default" r:id="rId38"/>
      <w:footerReference w:type="default" r:id="rId39"/>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E7" w:rsidRDefault="008D0AE7">
      <w:pPr>
        <w:spacing w:after="0" w:line="240" w:lineRule="auto"/>
      </w:pPr>
      <w:r>
        <w:separator/>
      </w:r>
    </w:p>
  </w:endnote>
  <w:endnote w:type="continuationSeparator" w:id="0">
    <w:p w:rsidR="008D0AE7" w:rsidRDefault="008D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6D" w:rsidRDefault="008D0AE7">
    <w:pPr>
      <w:pStyle w:val="Footer"/>
    </w:pPr>
    <w:r>
      <w:rPr>
        <w:noProof/>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rgbClr val="CE2C43">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0288" from="0,470.5pt" to="539.3pt,471.2pt" strokecolor="#ce2c43" strokeweight="3.5pt">
              <v:stroke joinstyle="miter" opacity="49087f"/>
              <w10:wrap anchorx="margin" anchory="margin"/>
            </v:line>
          </w:pict>
        </mc:Fallback>
      </mc:AlternateContent>
    </w:r>
    <w:r>
      <w:rPr>
        <w:noProof/>
      </w:rPr>
      <w:drawing>
        <wp:anchor distT="0" distB="0" distL="114300" distR="114300" simplePos="0" relativeHeight="251656192"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99777"/>
      <w:docPartObj>
        <w:docPartGallery w:val="Page Numbers (Bottom of Page)"/>
        <w:docPartUnique/>
      </w:docPartObj>
    </w:sdtPr>
    <w:sdtEndPr>
      <w:rPr>
        <w:noProof/>
      </w:rPr>
    </w:sdtEndPr>
    <w:sdtContent>
      <w:p w:rsidR="00A95ADA" w:rsidRDefault="008D0AE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E7" w:rsidRDefault="008D0AE7">
      <w:pPr>
        <w:spacing w:after="0" w:line="240" w:lineRule="auto"/>
      </w:pPr>
      <w:r>
        <w:separator/>
      </w:r>
    </w:p>
  </w:footnote>
  <w:footnote w:type="continuationSeparator" w:id="0">
    <w:p w:rsidR="008D0AE7" w:rsidRDefault="008D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6D" w:rsidRDefault="008D0AE7">
    <w:pPr>
      <w:pStyle w:val="Header"/>
    </w:pPr>
    <w:r>
      <w:rPr>
        <w:noProof/>
      </w:rPr>
      <w:drawing>
        <wp:anchor distT="0" distB="0" distL="114300" distR="114300" simplePos="0" relativeHeight="251655168" behindDoc="1" locked="0" layoutInCell="1" allowOverlap="1">
          <wp:simplePos x="0" y="0"/>
          <wp:positionH relativeFrom="page">
            <wp:align>right</wp:align>
          </wp:positionH>
          <wp:positionV relativeFrom="page">
            <wp:posOffset>-20955</wp:posOffset>
          </wp:positionV>
          <wp:extent cx="7772397" cy="3851929"/>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7" cy="38519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7CD" w:rsidRDefault="008D0AE7">
    <w:pPr>
      <w:pStyle w:val="Header"/>
    </w:pPr>
    <w:r>
      <w:rPr>
        <w:noProof/>
      </w:rPr>
      <w:drawing>
        <wp:anchor distT="0" distB="0" distL="114300" distR="114300" simplePos="0" relativeHeight="251658240" behindDoc="1" locked="0" layoutInCell="1" allowOverlap="1">
          <wp:simplePos x="0" y="0"/>
          <wp:positionH relativeFrom="page">
            <wp:posOffset>14032</wp:posOffset>
          </wp:positionH>
          <wp:positionV relativeFrom="paragraph">
            <wp:posOffset>-457200</wp:posOffset>
          </wp:positionV>
          <wp:extent cx="7753504" cy="1636395"/>
          <wp:effectExtent l="0" t="0" r="0" b="1905"/>
          <wp:wrapNone/>
          <wp:docPr id="213122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22242"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3504" cy="1636395"/>
                  </a:xfrm>
                  <a:prstGeom prst="rect">
                    <a:avLst/>
                  </a:prstGeom>
                </pic:spPr>
              </pic:pic>
            </a:graphicData>
          </a:graphic>
          <wp14:sizeRelH relativeFrom="page">
            <wp14:pctWidth>0</wp14:pctWidth>
          </wp14:sizeRelH>
          <wp14:sizeRelV relativeFrom="page">
            <wp14:pctHeight>0</wp14:pctHeight>
          </wp14:sizeRelV>
        </wp:anchor>
      </w:drawing>
    </w:r>
    <w:r w:rsidR="00A95ADA">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CE2C43">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3360" from="0,610.35pt" to="539.25pt,611.05pt" strokecolor="#ce2c43" strokeweight="3.5pt">
              <v:stroke joinstyle="miter" opacity="49087f"/>
              <w10:wrap anchorx="margin" anchory="margin"/>
            </v:line>
          </w:pict>
        </mc:Fallback>
      </mc:AlternateContent>
    </w:r>
    <w:r w:rsidR="00A95ADA">
      <w:rPr>
        <w:noProof/>
      </w:rPr>
      <mc:AlternateContent>
        <mc:Choice Requires="wps">
          <w:drawing>
            <wp:anchor distT="0" distB="0" distL="114300" distR="114300" simplePos="0" relativeHeight="251659264" behindDoc="0" locked="0" layoutInCell="1" allowOverlap="1">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rsidR="00EC1229" w:rsidRPr="00817EEE" w:rsidRDefault="008D0AE7"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CA2B37">
                            <w:rPr>
                              <w:szCs w:val="16"/>
                            </w:rPr>
                            <w:t xml:space="preserve">Design </w:t>
                          </w:r>
                          <w:r w:rsidRPr="00817EEE">
                            <w:t>©</w:t>
                          </w:r>
                          <w:r w:rsidR="00837917">
                            <w:t xml:space="preserve"> 201</w:t>
                          </w:r>
                          <w:r w:rsidR="00DA30FA">
                            <w:t>6</w:t>
                          </w:r>
                          <w:r w:rsidR="003802DB">
                            <w:t xml:space="preserve">, </w:t>
                          </w:r>
                          <w:r w:rsidRPr="00817EEE">
                            <w:t>20</w:t>
                          </w:r>
                          <w:r w:rsidR="00837917">
                            <w:t>20</w:t>
                          </w:r>
                          <w:r>
                            <w:t xml:space="preserve"> </w:t>
                          </w:r>
                          <w:r w:rsidRPr="00817EEE">
                            <w:t>Zywave, Inc.</w:t>
                          </w:r>
                          <w:r>
                            <w:t xml:space="preserve"> </w:t>
                          </w:r>
                          <w:r w:rsidRPr="00817EEE">
                            <w:t>All rights reserved.</w:t>
                          </w:r>
                          <w:r w:rsidR="00837917">
                            <w:t xml:space="preserve"> </w:t>
                          </w:r>
                        </w:p>
                        <w:p w:rsidR="00EC1229" w:rsidRPr="00947E11" w:rsidRDefault="00EC1229" w:rsidP="00EC1229">
                          <w:pPr>
                            <w:pStyle w:val="Disclaimer"/>
                            <w:rPr>
                              <w:szCs w:val="16"/>
                            </w:rPr>
                          </w:pPr>
                        </w:p>
                        <w:p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4.35pt;margin-top:683.45pt;width:471.25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rsidR="00EC1229" w:rsidRPr="00817EEE" w:rsidRDefault="008D0AE7"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00CA2B37">
                      <w:rPr>
                        <w:szCs w:val="16"/>
                      </w:rPr>
                      <w:t xml:space="preserve">Design </w:t>
                    </w:r>
                    <w:r w:rsidRPr="00817EEE">
                      <w:t>©</w:t>
                    </w:r>
                    <w:r w:rsidR="00837917">
                      <w:t xml:space="preserve"> 201</w:t>
                    </w:r>
                    <w:r w:rsidR="00DA30FA">
                      <w:t>6</w:t>
                    </w:r>
                    <w:r w:rsidR="003802DB">
                      <w:t xml:space="preserve">, </w:t>
                    </w:r>
                    <w:r w:rsidRPr="00817EEE">
                      <w:t>20</w:t>
                    </w:r>
                    <w:r w:rsidR="00837917">
                      <w:t>20</w:t>
                    </w:r>
                    <w:r>
                      <w:t xml:space="preserve"> </w:t>
                    </w:r>
                    <w:r w:rsidRPr="00817EEE">
                      <w:t>Zywave, Inc.</w:t>
                    </w:r>
                    <w:r>
                      <w:t xml:space="preserve"> </w:t>
                    </w:r>
                    <w:r w:rsidRPr="00817EEE">
                      <w:t>All rights reserved.</w:t>
                    </w:r>
                    <w:r w:rsidR="00837917">
                      <w:t xml:space="preserve"> </w:t>
                    </w:r>
                  </w:p>
                  <w:p w:rsidR="00EC1229" w:rsidRPr="00947E11" w:rsidRDefault="00EC1229" w:rsidP="00EC1229">
                    <w:pPr>
                      <w:pStyle w:val="Disclaimer"/>
                      <w:rPr>
                        <w:szCs w:val="16"/>
                      </w:rPr>
                    </w:pPr>
                  </w:p>
                  <w:p w:rsidR="00E6115F" w:rsidRPr="00947E11" w:rsidRDefault="00E6115F" w:rsidP="008F7B15">
                    <w:pPr>
                      <w:pStyle w:val="Disclaimer"/>
                      <w:rPr>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1EFE"/>
    <w:multiLevelType w:val="multilevel"/>
    <w:tmpl w:val="B13CDD56"/>
    <w:numStyleLink w:val="BulletedList"/>
  </w:abstractNum>
  <w:abstractNum w:abstractNumId="1" w15:restartNumberingAfterBreak="0">
    <w:nsid w:val="11E95063"/>
    <w:multiLevelType w:val="hybridMultilevel"/>
    <w:tmpl w:val="CFA22E9A"/>
    <w:lvl w:ilvl="0" w:tplc="4D763DDC">
      <w:start w:val="1"/>
      <w:numFmt w:val="bullet"/>
      <w:lvlText w:val=""/>
      <w:lvlJc w:val="left"/>
      <w:pPr>
        <w:ind w:left="547" w:hanging="360"/>
      </w:pPr>
      <w:rPr>
        <w:rFonts w:ascii="Symbol" w:hAnsi="Symbol" w:hint="default"/>
        <w:color w:val="CE2C43"/>
      </w:rPr>
    </w:lvl>
    <w:lvl w:ilvl="1" w:tplc="8D5C9A40">
      <w:start w:val="1"/>
      <w:numFmt w:val="bullet"/>
      <w:lvlText w:val="o"/>
      <w:lvlJc w:val="left"/>
      <w:pPr>
        <w:ind w:left="1440" w:hanging="360"/>
      </w:pPr>
      <w:rPr>
        <w:rFonts w:ascii="Courier New" w:hAnsi="Courier New" w:cs="Courier New" w:hint="default"/>
      </w:rPr>
    </w:lvl>
    <w:lvl w:ilvl="2" w:tplc="31CE3376" w:tentative="1">
      <w:start w:val="1"/>
      <w:numFmt w:val="bullet"/>
      <w:lvlText w:val=""/>
      <w:lvlJc w:val="left"/>
      <w:pPr>
        <w:ind w:left="2160" w:hanging="360"/>
      </w:pPr>
      <w:rPr>
        <w:rFonts w:ascii="Wingdings" w:hAnsi="Wingdings" w:hint="default"/>
      </w:rPr>
    </w:lvl>
    <w:lvl w:ilvl="3" w:tplc="BE3EE694" w:tentative="1">
      <w:start w:val="1"/>
      <w:numFmt w:val="bullet"/>
      <w:lvlText w:val=""/>
      <w:lvlJc w:val="left"/>
      <w:pPr>
        <w:ind w:left="2880" w:hanging="360"/>
      </w:pPr>
      <w:rPr>
        <w:rFonts w:ascii="Symbol" w:hAnsi="Symbol" w:hint="default"/>
      </w:rPr>
    </w:lvl>
    <w:lvl w:ilvl="4" w:tplc="81865E00" w:tentative="1">
      <w:start w:val="1"/>
      <w:numFmt w:val="bullet"/>
      <w:lvlText w:val="o"/>
      <w:lvlJc w:val="left"/>
      <w:pPr>
        <w:ind w:left="3600" w:hanging="360"/>
      </w:pPr>
      <w:rPr>
        <w:rFonts w:ascii="Courier New" w:hAnsi="Courier New" w:cs="Courier New" w:hint="default"/>
      </w:rPr>
    </w:lvl>
    <w:lvl w:ilvl="5" w:tplc="7C148D00" w:tentative="1">
      <w:start w:val="1"/>
      <w:numFmt w:val="bullet"/>
      <w:lvlText w:val=""/>
      <w:lvlJc w:val="left"/>
      <w:pPr>
        <w:ind w:left="4320" w:hanging="360"/>
      </w:pPr>
      <w:rPr>
        <w:rFonts w:ascii="Wingdings" w:hAnsi="Wingdings" w:hint="default"/>
      </w:rPr>
    </w:lvl>
    <w:lvl w:ilvl="6" w:tplc="E50CC14C" w:tentative="1">
      <w:start w:val="1"/>
      <w:numFmt w:val="bullet"/>
      <w:lvlText w:val=""/>
      <w:lvlJc w:val="left"/>
      <w:pPr>
        <w:ind w:left="5040" w:hanging="360"/>
      </w:pPr>
      <w:rPr>
        <w:rFonts w:ascii="Symbol" w:hAnsi="Symbol" w:hint="default"/>
      </w:rPr>
    </w:lvl>
    <w:lvl w:ilvl="7" w:tplc="FF447FA2" w:tentative="1">
      <w:start w:val="1"/>
      <w:numFmt w:val="bullet"/>
      <w:lvlText w:val="o"/>
      <w:lvlJc w:val="left"/>
      <w:pPr>
        <w:ind w:left="5760" w:hanging="360"/>
      </w:pPr>
      <w:rPr>
        <w:rFonts w:ascii="Courier New" w:hAnsi="Courier New" w:cs="Courier New" w:hint="default"/>
      </w:rPr>
    </w:lvl>
    <w:lvl w:ilvl="8" w:tplc="F7B0B506" w:tentative="1">
      <w:start w:val="1"/>
      <w:numFmt w:val="bullet"/>
      <w:lvlText w:val=""/>
      <w:lvlJc w:val="left"/>
      <w:pPr>
        <w:ind w:left="6480" w:hanging="360"/>
      </w:pPr>
      <w:rPr>
        <w:rFonts w:ascii="Wingdings" w:hAnsi="Wingdings" w:hint="default"/>
      </w:rPr>
    </w:lvl>
  </w:abstractNum>
  <w:abstractNum w:abstractNumId="2" w15:restartNumberingAfterBreak="0">
    <w:nsid w:val="179F6488"/>
    <w:multiLevelType w:val="hybridMultilevel"/>
    <w:tmpl w:val="4A98104E"/>
    <w:lvl w:ilvl="0" w:tplc="D65C18C0">
      <w:start w:val="1"/>
      <w:numFmt w:val="bullet"/>
      <w:pStyle w:val="T-BulletList"/>
      <w:lvlText w:val=""/>
      <w:lvlJc w:val="left"/>
      <w:pPr>
        <w:ind w:left="288" w:hanging="216"/>
      </w:pPr>
      <w:rPr>
        <w:rFonts w:ascii="Symbol" w:hAnsi="Symbol" w:hint="default"/>
        <w:sz w:val="20"/>
        <w:szCs w:val="20"/>
      </w:rPr>
    </w:lvl>
    <w:lvl w:ilvl="1" w:tplc="068686A6">
      <w:start w:val="1"/>
      <w:numFmt w:val="bullet"/>
      <w:lvlText w:val="o"/>
      <w:lvlJc w:val="left"/>
      <w:pPr>
        <w:ind w:left="576" w:hanging="216"/>
      </w:pPr>
      <w:rPr>
        <w:rFonts w:ascii="Courier New" w:hAnsi="Courier New" w:hint="default"/>
      </w:rPr>
    </w:lvl>
    <w:lvl w:ilvl="2" w:tplc="0332D95A">
      <w:start w:val="1"/>
      <w:numFmt w:val="bullet"/>
      <w:lvlText w:val=""/>
      <w:lvlJc w:val="left"/>
      <w:pPr>
        <w:ind w:left="1008" w:hanging="288"/>
      </w:pPr>
      <w:rPr>
        <w:rFonts w:ascii="Wingdings" w:hAnsi="Wingdings" w:hint="default"/>
      </w:rPr>
    </w:lvl>
    <w:lvl w:ilvl="3" w:tplc="EC66A508" w:tentative="1">
      <w:start w:val="1"/>
      <w:numFmt w:val="bullet"/>
      <w:lvlText w:val=""/>
      <w:lvlJc w:val="left"/>
      <w:pPr>
        <w:ind w:left="2880" w:hanging="360"/>
      </w:pPr>
      <w:rPr>
        <w:rFonts w:ascii="Symbol" w:hAnsi="Symbol" w:hint="default"/>
      </w:rPr>
    </w:lvl>
    <w:lvl w:ilvl="4" w:tplc="BAA02234" w:tentative="1">
      <w:start w:val="1"/>
      <w:numFmt w:val="bullet"/>
      <w:lvlText w:val="o"/>
      <w:lvlJc w:val="left"/>
      <w:pPr>
        <w:ind w:left="3600" w:hanging="360"/>
      </w:pPr>
      <w:rPr>
        <w:rFonts w:ascii="Courier New" w:hAnsi="Courier New" w:cs="Courier New" w:hint="default"/>
      </w:rPr>
    </w:lvl>
    <w:lvl w:ilvl="5" w:tplc="AD0C5190" w:tentative="1">
      <w:start w:val="1"/>
      <w:numFmt w:val="bullet"/>
      <w:lvlText w:val=""/>
      <w:lvlJc w:val="left"/>
      <w:pPr>
        <w:ind w:left="4320" w:hanging="360"/>
      </w:pPr>
      <w:rPr>
        <w:rFonts w:ascii="Wingdings" w:hAnsi="Wingdings" w:hint="default"/>
      </w:rPr>
    </w:lvl>
    <w:lvl w:ilvl="6" w:tplc="63B22FBA" w:tentative="1">
      <w:start w:val="1"/>
      <w:numFmt w:val="bullet"/>
      <w:lvlText w:val=""/>
      <w:lvlJc w:val="left"/>
      <w:pPr>
        <w:ind w:left="5040" w:hanging="360"/>
      </w:pPr>
      <w:rPr>
        <w:rFonts w:ascii="Symbol" w:hAnsi="Symbol" w:hint="default"/>
      </w:rPr>
    </w:lvl>
    <w:lvl w:ilvl="7" w:tplc="3AE61BD0" w:tentative="1">
      <w:start w:val="1"/>
      <w:numFmt w:val="bullet"/>
      <w:lvlText w:val="o"/>
      <w:lvlJc w:val="left"/>
      <w:pPr>
        <w:ind w:left="5760" w:hanging="360"/>
      </w:pPr>
      <w:rPr>
        <w:rFonts w:ascii="Courier New" w:hAnsi="Courier New" w:cs="Courier New" w:hint="default"/>
      </w:rPr>
    </w:lvl>
    <w:lvl w:ilvl="8" w:tplc="80A6D770" w:tentative="1">
      <w:start w:val="1"/>
      <w:numFmt w:val="bullet"/>
      <w:lvlText w:val=""/>
      <w:lvlJc w:val="left"/>
      <w:pPr>
        <w:ind w:left="6480" w:hanging="360"/>
      </w:pPr>
      <w:rPr>
        <w:rFonts w:ascii="Wingdings" w:hAnsi="Wingdings" w:hint="default"/>
      </w:rPr>
    </w:lvl>
  </w:abstractNum>
  <w:abstractNum w:abstractNumId="3" w15:restartNumberingAfterBreak="0">
    <w:nsid w:val="1A270686"/>
    <w:multiLevelType w:val="hybridMultilevel"/>
    <w:tmpl w:val="C96E1582"/>
    <w:lvl w:ilvl="0" w:tplc="CB8A0E44">
      <w:start w:val="1"/>
      <w:numFmt w:val="bullet"/>
      <w:pStyle w:val="Checkbox"/>
      <w:lvlText w:val=""/>
      <w:lvlJc w:val="left"/>
      <w:pPr>
        <w:ind w:left="2966" w:hanging="360"/>
      </w:pPr>
      <w:rPr>
        <w:rFonts w:ascii="Wingdings" w:hAnsi="Wingdings" w:hint="default"/>
        <w:color w:val="5083C9"/>
        <w:sz w:val="28"/>
      </w:rPr>
    </w:lvl>
    <w:lvl w:ilvl="1" w:tplc="C0087302">
      <w:start w:val="1"/>
      <w:numFmt w:val="bullet"/>
      <w:lvlText w:val="o"/>
      <w:lvlJc w:val="left"/>
      <w:pPr>
        <w:ind w:left="6974" w:hanging="360"/>
      </w:pPr>
      <w:rPr>
        <w:rFonts w:ascii="Courier New" w:hAnsi="Courier New" w:cs="Courier New" w:hint="default"/>
      </w:rPr>
    </w:lvl>
    <w:lvl w:ilvl="2" w:tplc="B3F43524" w:tentative="1">
      <w:start w:val="1"/>
      <w:numFmt w:val="bullet"/>
      <w:lvlText w:val=""/>
      <w:lvlJc w:val="left"/>
      <w:pPr>
        <w:ind w:left="7694" w:hanging="360"/>
      </w:pPr>
      <w:rPr>
        <w:rFonts w:ascii="Wingdings" w:hAnsi="Wingdings" w:hint="default"/>
      </w:rPr>
    </w:lvl>
    <w:lvl w:ilvl="3" w:tplc="151052CA" w:tentative="1">
      <w:start w:val="1"/>
      <w:numFmt w:val="bullet"/>
      <w:lvlText w:val=""/>
      <w:lvlJc w:val="left"/>
      <w:pPr>
        <w:ind w:left="8414" w:hanging="360"/>
      </w:pPr>
      <w:rPr>
        <w:rFonts w:ascii="Symbol" w:hAnsi="Symbol" w:hint="default"/>
      </w:rPr>
    </w:lvl>
    <w:lvl w:ilvl="4" w:tplc="A734EF52" w:tentative="1">
      <w:start w:val="1"/>
      <w:numFmt w:val="bullet"/>
      <w:lvlText w:val="o"/>
      <w:lvlJc w:val="left"/>
      <w:pPr>
        <w:ind w:left="9134" w:hanging="360"/>
      </w:pPr>
      <w:rPr>
        <w:rFonts w:ascii="Courier New" w:hAnsi="Courier New" w:cs="Courier New" w:hint="default"/>
      </w:rPr>
    </w:lvl>
    <w:lvl w:ilvl="5" w:tplc="B0C61506" w:tentative="1">
      <w:start w:val="1"/>
      <w:numFmt w:val="bullet"/>
      <w:lvlText w:val=""/>
      <w:lvlJc w:val="left"/>
      <w:pPr>
        <w:ind w:left="9854" w:hanging="360"/>
      </w:pPr>
      <w:rPr>
        <w:rFonts w:ascii="Wingdings" w:hAnsi="Wingdings" w:hint="default"/>
      </w:rPr>
    </w:lvl>
    <w:lvl w:ilvl="6" w:tplc="DF787C56" w:tentative="1">
      <w:start w:val="1"/>
      <w:numFmt w:val="bullet"/>
      <w:lvlText w:val=""/>
      <w:lvlJc w:val="left"/>
      <w:pPr>
        <w:ind w:left="10574" w:hanging="360"/>
      </w:pPr>
      <w:rPr>
        <w:rFonts w:ascii="Symbol" w:hAnsi="Symbol" w:hint="default"/>
      </w:rPr>
    </w:lvl>
    <w:lvl w:ilvl="7" w:tplc="7F267B5C" w:tentative="1">
      <w:start w:val="1"/>
      <w:numFmt w:val="bullet"/>
      <w:lvlText w:val="o"/>
      <w:lvlJc w:val="left"/>
      <w:pPr>
        <w:ind w:left="11294" w:hanging="360"/>
      </w:pPr>
      <w:rPr>
        <w:rFonts w:ascii="Courier New" w:hAnsi="Courier New" w:cs="Courier New" w:hint="default"/>
      </w:rPr>
    </w:lvl>
    <w:lvl w:ilvl="8" w:tplc="D62E2EAA" w:tentative="1">
      <w:start w:val="1"/>
      <w:numFmt w:val="bullet"/>
      <w:lvlText w:val=""/>
      <w:lvlJc w:val="left"/>
      <w:pPr>
        <w:ind w:left="12014" w:hanging="360"/>
      </w:pPr>
      <w:rPr>
        <w:rFonts w:ascii="Wingdings" w:hAnsi="Wingdings" w:hint="default"/>
      </w:rPr>
    </w:lvl>
  </w:abstractNum>
  <w:abstractNum w:abstractNumId="4" w15:restartNumberingAfterBreak="0">
    <w:nsid w:val="1CC62024"/>
    <w:multiLevelType w:val="multilevel"/>
    <w:tmpl w:val="B13CDD56"/>
    <w:numStyleLink w:val="BulletedList"/>
  </w:abstractNum>
  <w:abstractNum w:abstractNumId="5" w15:restartNumberingAfterBreak="0">
    <w:nsid w:val="1ED21D9A"/>
    <w:multiLevelType w:val="hybridMultilevel"/>
    <w:tmpl w:val="6340F73E"/>
    <w:lvl w:ilvl="0" w:tplc="390C0072">
      <w:start w:val="1"/>
      <w:numFmt w:val="decimal"/>
      <w:lvlText w:val="%1."/>
      <w:lvlJc w:val="left"/>
      <w:pPr>
        <w:ind w:left="720" w:hanging="360"/>
      </w:pPr>
    </w:lvl>
    <w:lvl w:ilvl="1" w:tplc="913E7448" w:tentative="1">
      <w:start w:val="1"/>
      <w:numFmt w:val="lowerLetter"/>
      <w:lvlText w:val="%2."/>
      <w:lvlJc w:val="left"/>
      <w:pPr>
        <w:ind w:left="1440" w:hanging="360"/>
      </w:pPr>
    </w:lvl>
    <w:lvl w:ilvl="2" w:tplc="5EF45228" w:tentative="1">
      <w:start w:val="1"/>
      <w:numFmt w:val="lowerRoman"/>
      <w:lvlText w:val="%3."/>
      <w:lvlJc w:val="right"/>
      <w:pPr>
        <w:ind w:left="2160" w:hanging="180"/>
      </w:pPr>
    </w:lvl>
    <w:lvl w:ilvl="3" w:tplc="45E0FE10" w:tentative="1">
      <w:start w:val="1"/>
      <w:numFmt w:val="decimal"/>
      <w:lvlText w:val="%4."/>
      <w:lvlJc w:val="left"/>
      <w:pPr>
        <w:ind w:left="2880" w:hanging="360"/>
      </w:pPr>
    </w:lvl>
    <w:lvl w:ilvl="4" w:tplc="3B5CCB84" w:tentative="1">
      <w:start w:val="1"/>
      <w:numFmt w:val="lowerLetter"/>
      <w:lvlText w:val="%5."/>
      <w:lvlJc w:val="left"/>
      <w:pPr>
        <w:ind w:left="3600" w:hanging="360"/>
      </w:pPr>
    </w:lvl>
    <w:lvl w:ilvl="5" w:tplc="1182ECF4" w:tentative="1">
      <w:start w:val="1"/>
      <w:numFmt w:val="lowerRoman"/>
      <w:lvlText w:val="%6."/>
      <w:lvlJc w:val="right"/>
      <w:pPr>
        <w:ind w:left="4320" w:hanging="180"/>
      </w:pPr>
    </w:lvl>
    <w:lvl w:ilvl="6" w:tplc="14742AA0" w:tentative="1">
      <w:start w:val="1"/>
      <w:numFmt w:val="decimal"/>
      <w:lvlText w:val="%7."/>
      <w:lvlJc w:val="left"/>
      <w:pPr>
        <w:ind w:left="5040" w:hanging="360"/>
      </w:pPr>
    </w:lvl>
    <w:lvl w:ilvl="7" w:tplc="A6D830AE" w:tentative="1">
      <w:start w:val="1"/>
      <w:numFmt w:val="lowerLetter"/>
      <w:lvlText w:val="%8."/>
      <w:lvlJc w:val="left"/>
      <w:pPr>
        <w:ind w:left="5760" w:hanging="360"/>
      </w:pPr>
    </w:lvl>
    <w:lvl w:ilvl="8" w:tplc="D82A794A" w:tentative="1">
      <w:start w:val="1"/>
      <w:numFmt w:val="lowerRoman"/>
      <w:lvlText w:val="%9."/>
      <w:lvlJc w:val="right"/>
      <w:pPr>
        <w:ind w:left="6480" w:hanging="180"/>
      </w:pPr>
    </w:lvl>
  </w:abstractNum>
  <w:abstractNum w:abstractNumId="6" w15:restartNumberingAfterBreak="0">
    <w:nsid w:val="24231C50"/>
    <w:multiLevelType w:val="multilevel"/>
    <w:tmpl w:val="B13CDD56"/>
    <w:numStyleLink w:val="BulletedList"/>
  </w:abstractNum>
  <w:abstractNum w:abstractNumId="7" w15:restartNumberingAfterBreak="0">
    <w:nsid w:val="370A2C70"/>
    <w:multiLevelType w:val="hybridMultilevel"/>
    <w:tmpl w:val="CB1A4564"/>
    <w:lvl w:ilvl="0" w:tplc="7996D8DA">
      <w:start w:val="1"/>
      <w:numFmt w:val="bullet"/>
      <w:lvlText w:val=""/>
      <w:lvlJc w:val="left"/>
      <w:pPr>
        <w:ind w:left="576" w:hanging="216"/>
      </w:pPr>
      <w:rPr>
        <w:rFonts w:ascii="Symbol" w:hAnsi="Symbol" w:hint="default"/>
      </w:rPr>
    </w:lvl>
    <w:lvl w:ilvl="1" w:tplc="DE506842">
      <w:start w:val="1"/>
      <w:numFmt w:val="bullet"/>
      <w:lvlText w:val="o"/>
      <w:lvlJc w:val="left"/>
      <w:pPr>
        <w:ind w:left="936" w:hanging="216"/>
      </w:pPr>
      <w:rPr>
        <w:rFonts w:ascii="Courier New" w:hAnsi="Courier New" w:hint="default"/>
      </w:rPr>
    </w:lvl>
    <w:lvl w:ilvl="2" w:tplc="198EE214">
      <w:start w:val="1"/>
      <w:numFmt w:val="bullet"/>
      <w:lvlText w:val=""/>
      <w:lvlJc w:val="left"/>
      <w:pPr>
        <w:ind w:left="1296" w:hanging="216"/>
      </w:pPr>
      <w:rPr>
        <w:rFonts w:ascii="Wingdings" w:hAnsi="Wingdings" w:hint="default"/>
      </w:rPr>
    </w:lvl>
    <w:lvl w:ilvl="3" w:tplc="9EB2B350" w:tentative="1">
      <w:start w:val="1"/>
      <w:numFmt w:val="bullet"/>
      <w:lvlText w:val=""/>
      <w:lvlJc w:val="left"/>
      <w:pPr>
        <w:ind w:left="2880" w:hanging="360"/>
      </w:pPr>
      <w:rPr>
        <w:rFonts w:ascii="Symbol" w:hAnsi="Symbol" w:hint="default"/>
      </w:rPr>
    </w:lvl>
    <w:lvl w:ilvl="4" w:tplc="709EE144" w:tentative="1">
      <w:start w:val="1"/>
      <w:numFmt w:val="bullet"/>
      <w:lvlText w:val="o"/>
      <w:lvlJc w:val="left"/>
      <w:pPr>
        <w:ind w:left="3600" w:hanging="360"/>
      </w:pPr>
      <w:rPr>
        <w:rFonts w:ascii="Courier New" w:hAnsi="Courier New" w:cs="Courier New" w:hint="default"/>
      </w:rPr>
    </w:lvl>
    <w:lvl w:ilvl="5" w:tplc="74705BAE" w:tentative="1">
      <w:start w:val="1"/>
      <w:numFmt w:val="bullet"/>
      <w:lvlText w:val=""/>
      <w:lvlJc w:val="left"/>
      <w:pPr>
        <w:ind w:left="4320" w:hanging="360"/>
      </w:pPr>
      <w:rPr>
        <w:rFonts w:ascii="Wingdings" w:hAnsi="Wingdings" w:hint="default"/>
      </w:rPr>
    </w:lvl>
    <w:lvl w:ilvl="6" w:tplc="7BAC0178" w:tentative="1">
      <w:start w:val="1"/>
      <w:numFmt w:val="bullet"/>
      <w:lvlText w:val=""/>
      <w:lvlJc w:val="left"/>
      <w:pPr>
        <w:ind w:left="5040" w:hanging="360"/>
      </w:pPr>
      <w:rPr>
        <w:rFonts w:ascii="Symbol" w:hAnsi="Symbol" w:hint="default"/>
      </w:rPr>
    </w:lvl>
    <w:lvl w:ilvl="7" w:tplc="B14C1DCA" w:tentative="1">
      <w:start w:val="1"/>
      <w:numFmt w:val="bullet"/>
      <w:lvlText w:val="o"/>
      <w:lvlJc w:val="left"/>
      <w:pPr>
        <w:ind w:left="5760" w:hanging="360"/>
      </w:pPr>
      <w:rPr>
        <w:rFonts w:ascii="Courier New" w:hAnsi="Courier New" w:cs="Courier New" w:hint="default"/>
      </w:rPr>
    </w:lvl>
    <w:lvl w:ilvl="8" w:tplc="1CB2294E" w:tentative="1">
      <w:start w:val="1"/>
      <w:numFmt w:val="bullet"/>
      <w:lvlText w:val=""/>
      <w:lvlJc w:val="left"/>
      <w:pPr>
        <w:ind w:left="6480" w:hanging="360"/>
      </w:pPr>
      <w:rPr>
        <w:rFonts w:ascii="Wingdings" w:hAnsi="Wingdings" w:hint="default"/>
      </w:rPr>
    </w:lvl>
  </w:abstractNum>
  <w:abstractNum w:abstractNumId="8"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CE2C43"/>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9703BF"/>
    <w:multiLevelType w:val="multilevel"/>
    <w:tmpl w:val="B9EC39CC"/>
    <w:lvl w:ilvl="0">
      <w:start w:val="1"/>
      <w:numFmt w:val="bulle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A5370E"/>
    <w:multiLevelType w:val="hybridMultilevel"/>
    <w:tmpl w:val="0A8A9128"/>
    <w:lvl w:ilvl="0" w:tplc="22CC3EF0">
      <w:start w:val="1"/>
      <w:numFmt w:val="decimal"/>
      <w:lvlText w:val="%1."/>
      <w:lvlJc w:val="left"/>
      <w:pPr>
        <w:ind w:left="720" w:hanging="360"/>
      </w:pPr>
    </w:lvl>
    <w:lvl w:ilvl="1" w:tplc="FDFEC4C6" w:tentative="1">
      <w:start w:val="1"/>
      <w:numFmt w:val="lowerLetter"/>
      <w:lvlText w:val="%2."/>
      <w:lvlJc w:val="left"/>
      <w:pPr>
        <w:ind w:left="1440" w:hanging="360"/>
      </w:pPr>
    </w:lvl>
    <w:lvl w:ilvl="2" w:tplc="822EB28A" w:tentative="1">
      <w:start w:val="1"/>
      <w:numFmt w:val="lowerRoman"/>
      <w:lvlText w:val="%3."/>
      <w:lvlJc w:val="right"/>
      <w:pPr>
        <w:ind w:left="2160" w:hanging="180"/>
      </w:pPr>
    </w:lvl>
    <w:lvl w:ilvl="3" w:tplc="F20E8418" w:tentative="1">
      <w:start w:val="1"/>
      <w:numFmt w:val="decimal"/>
      <w:lvlText w:val="%4."/>
      <w:lvlJc w:val="left"/>
      <w:pPr>
        <w:ind w:left="2880" w:hanging="360"/>
      </w:pPr>
    </w:lvl>
    <w:lvl w:ilvl="4" w:tplc="2D1E34AC" w:tentative="1">
      <w:start w:val="1"/>
      <w:numFmt w:val="lowerLetter"/>
      <w:lvlText w:val="%5."/>
      <w:lvlJc w:val="left"/>
      <w:pPr>
        <w:ind w:left="3600" w:hanging="360"/>
      </w:pPr>
    </w:lvl>
    <w:lvl w:ilvl="5" w:tplc="21D698B4" w:tentative="1">
      <w:start w:val="1"/>
      <w:numFmt w:val="lowerRoman"/>
      <w:lvlText w:val="%6."/>
      <w:lvlJc w:val="right"/>
      <w:pPr>
        <w:ind w:left="4320" w:hanging="180"/>
      </w:pPr>
    </w:lvl>
    <w:lvl w:ilvl="6" w:tplc="B1663E94" w:tentative="1">
      <w:start w:val="1"/>
      <w:numFmt w:val="decimal"/>
      <w:lvlText w:val="%7."/>
      <w:lvlJc w:val="left"/>
      <w:pPr>
        <w:ind w:left="5040" w:hanging="360"/>
      </w:pPr>
    </w:lvl>
    <w:lvl w:ilvl="7" w:tplc="19AC49F8" w:tentative="1">
      <w:start w:val="1"/>
      <w:numFmt w:val="lowerLetter"/>
      <w:lvlText w:val="%8."/>
      <w:lvlJc w:val="left"/>
      <w:pPr>
        <w:ind w:left="5760" w:hanging="360"/>
      </w:pPr>
    </w:lvl>
    <w:lvl w:ilvl="8" w:tplc="437C6402" w:tentative="1">
      <w:start w:val="1"/>
      <w:numFmt w:val="lowerRoman"/>
      <w:lvlText w:val="%9."/>
      <w:lvlJc w:val="right"/>
      <w:pPr>
        <w:ind w:left="6480" w:hanging="180"/>
      </w:pPr>
    </w:lvl>
  </w:abstractNum>
  <w:abstractNum w:abstractNumId="11" w15:restartNumberingAfterBreak="0">
    <w:nsid w:val="4C8601A1"/>
    <w:multiLevelType w:val="hybridMultilevel"/>
    <w:tmpl w:val="43CE94D6"/>
    <w:lvl w:ilvl="0" w:tplc="B142B50A">
      <w:start w:val="1"/>
      <w:numFmt w:val="bullet"/>
      <w:lvlText w:val=""/>
      <w:lvlJc w:val="left"/>
      <w:pPr>
        <w:ind w:left="720" w:hanging="360"/>
      </w:pPr>
      <w:rPr>
        <w:rFonts w:ascii="Symbol" w:hAnsi="Symbol" w:hint="default"/>
      </w:rPr>
    </w:lvl>
    <w:lvl w:ilvl="1" w:tplc="F93866E6">
      <w:start w:val="1"/>
      <w:numFmt w:val="bullet"/>
      <w:lvlText w:val="o"/>
      <w:lvlJc w:val="left"/>
      <w:pPr>
        <w:ind w:left="1440" w:hanging="360"/>
      </w:pPr>
      <w:rPr>
        <w:rFonts w:ascii="Courier New" w:hAnsi="Courier New" w:hint="default"/>
      </w:rPr>
    </w:lvl>
    <w:lvl w:ilvl="2" w:tplc="17768D2A" w:tentative="1">
      <w:start w:val="1"/>
      <w:numFmt w:val="bullet"/>
      <w:lvlText w:val=""/>
      <w:lvlJc w:val="left"/>
      <w:pPr>
        <w:ind w:left="2160" w:hanging="360"/>
      </w:pPr>
      <w:rPr>
        <w:rFonts w:ascii="Wingdings" w:hAnsi="Wingdings" w:hint="default"/>
      </w:rPr>
    </w:lvl>
    <w:lvl w:ilvl="3" w:tplc="2A00BE6C" w:tentative="1">
      <w:start w:val="1"/>
      <w:numFmt w:val="bullet"/>
      <w:lvlText w:val=""/>
      <w:lvlJc w:val="left"/>
      <w:pPr>
        <w:ind w:left="2880" w:hanging="360"/>
      </w:pPr>
      <w:rPr>
        <w:rFonts w:ascii="Symbol" w:hAnsi="Symbol" w:hint="default"/>
      </w:rPr>
    </w:lvl>
    <w:lvl w:ilvl="4" w:tplc="BC7C7564" w:tentative="1">
      <w:start w:val="1"/>
      <w:numFmt w:val="bullet"/>
      <w:lvlText w:val="o"/>
      <w:lvlJc w:val="left"/>
      <w:pPr>
        <w:ind w:left="3600" w:hanging="360"/>
      </w:pPr>
      <w:rPr>
        <w:rFonts w:ascii="Courier New" w:hAnsi="Courier New" w:cs="Courier New" w:hint="default"/>
      </w:rPr>
    </w:lvl>
    <w:lvl w:ilvl="5" w:tplc="F30EFFAA" w:tentative="1">
      <w:start w:val="1"/>
      <w:numFmt w:val="bullet"/>
      <w:lvlText w:val=""/>
      <w:lvlJc w:val="left"/>
      <w:pPr>
        <w:ind w:left="4320" w:hanging="360"/>
      </w:pPr>
      <w:rPr>
        <w:rFonts w:ascii="Wingdings" w:hAnsi="Wingdings" w:hint="default"/>
      </w:rPr>
    </w:lvl>
    <w:lvl w:ilvl="6" w:tplc="D7E4F55E" w:tentative="1">
      <w:start w:val="1"/>
      <w:numFmt w:val="bullet"/>
      <w:lvlText w:val=""/>
      <w:lvlJc w:val="left"/>
      <w:pPr>
        <w:ind w:left="5040" w:hanging="360"/>
      </w:pPr>
      <w:rPr>
        <w:rFonts w:ascii="Symbol" w:hAnsi="Symbol" w:hint="default"/>
      </w:rPr>
    </w:lvl>
    <w:lvl w:ilvl="7" w:tplc="A42C9E6C" w:tentative="1">
      <w:start w:val="1"/>
      <w:numFmt w:val="bullet"/>
      <w:lvlText w:val="o"/>
      <w:lvlJc w:val="left"/>
      <w:pPr>
        <w:ind w:left="5760" w:hanging="360"/>
      </w:pPr>
      <w:rPr>
        <w:rFonts w:ascii="Courier New" w:hAnsi="Courier New" w:cs="Courier New" w:hint="default"/>
      </w:rPr>
    </w:lvl>
    <w:lvl w:ilvl="8" w:tplc="3184EDC2" w:tentative="1">
      <w:start w:val="1"/>
      <w:numFmt w:val="bullet"/>
      <w:lvlText w:val=""/>
      <w:lvlJc w:val="left"/>
      <w:pPr>
        <w:ind w:left="6480" w:hanging="360"/>
      </w:pPr>
      <w:rPr>
        <w:rFonts w:ascii="Wingdings" w:hAnsi="Wingdings" w:hint="default"/>
      </w:rPr>
    </w:lvl>
  </w:abstractNum>
  <w:abstractNum w:abstractNumId="12" w15:restartNumberingAfterBreak="0">
    <w:nsid w:val="4E624744"/>
    <w:multiLevelType w:val="hybridMultilevel"/>
    <w:tmpl w:val="102CC858"/>
    <w:lvl w:ilvl="0" w:tplc="EF949B48">
      <w:start w:val="1"/>
      <w:numFmt w:val="bullet"/>
      <w:pStyle w:val="Xbox"/>
      <w:lvlText w:val=""/>
      <w:lvlJc w:val="left"/>
      <w:pPr>
        <w:ind w:left="360" w:hanging="360"/>
      </w:pPr>
      <w:rPr>
        <w:rFonts w:ascii="Wingdings" w:hAnsi="Wingdings" w:hint="default"/>
        <w:color w:val="BD6363"/>
        <w:sz w:val="28"/>
      </w:rPr>
    </w:lvl>
    <w:lvl w:ilvl="1" w:tplc="ADAAFD94">
      <w:start w:val="1"/>
      <w:numFmt w:val="bullet"/>
      <w:lvlText w:val="o"/>
      <w:lvlJc w:val="left"/>
      <w:pPr>
        <w:ind w:left="5760" w:hanging="360"/>
      </w:pPr>
      <w:rPr>
        <w:rFonts w:ascii="Courier New" w:hAnsi="Courier New" w:cs="Courier New" w:hint="default"/>
      </w:rPr>
    </w:lvl>
    <w:lvl w:ilvl="2" w:tplc="D7B27070" w:tentative="1">
      <w:start w:val="1"/>
      <w:numFmt w:val="bullet"/>
      <w:lvlText w:val=""/>
      <w:lvlJc w:val="left"/>
      <w:pPr>
        <w:ind w:left="6480" w:hanging="360"/>
      </w:pPr>
      <w:rPr>
        <w:rFonts w:ascii="Wingdings" w:hAnsi="Wingdings" w:hint="default"/>
      </w:rPr>
    </w:lvl>
    <w:lvl w:ilvl="3" w:tplc="DC9023AA" w:tentative="1">
      <w:start w:val="1"/>
      <w:numFmt w:val="bullet"/>
      <w:lvlText w:val=""/>
      <w:lvlJc w:val="left"/>
      <w:pPr>
        <w:ind w:left="7200" w:hanging="360"/>
      </w:pPr>
      <w:rPr>
        <w:rFonts w:ascii="Symbol" w:hAnsi="Symbol" w:hint="default"/>
      </w:rPr>
    </w:lvl>
    <w:lvl w:ilvl="4" w:tplc="B74C9040" w:tentative="1">
      <w:start w:val="1"/>
      <w:numFmt w:val="bullet"/>
      <w:lvlText w:val="o"/>
      <w:lvlJc w:val="left"/>
      <w:pPr>
        <w:ind w:left="7920" w:hanging="360"/>
      </w:pPr>
      <w:rPr>
        <w:rFonts w:ascii="Courier New" w:hAnsi="Courier New" w:cs="Courier New" w:hint="default"/>
      </w:rPr>
    </w:lvl>
    <w:lvl w:ilvl="5" w:tplc="68FC2AF0" w:tentative="1">
      <w:start w:val="1"/>
      <w:numFmt w:val="bullet"/>
      <w:lvlText w:val=""/>
      <w:lvlJc w:val="left"/>
      <w:pPr>
        <w:ind w:left="8640" w:hanging="360"/>
      </w:pPr>
      <w:rPr>
        <w:rFonts w:ascii="Wingdings" w:hAnsi="Wingdings" w:hint="default"/>
      </w:rPr>
    </w:lvl>
    <w:lvl w:ilvl="6" w:tplc="9FE6A2F0" w:tentative="1">
      <w:start w:val="1"/>
      <w:numFmt w:val="bullet"/>
      <w:lvlText w:val=""/>
      <w:lvlJc w:val="left"/>
      <w:pPr>
        <w:ind w:left="9360" w:hanging="360"/>
      </w:pPr>
      <w:rPr>
        <w:rFonts w:ascii="Symbol" w:hAnsi="Symbol" w:hint="default"/>
      </w:rPr>
    </w:lvl>
    <w:lvl w:ilvl="7" w:tplc="47A4D0D8" w:tentative="1">
      <w:start w:val="1"/>
      <w:numFmt w:val="bullet"/>
      <w:lvlText w:val="o"/>
      <w:lvlJc w:val="left"/>
      <w:pPr>
        <w:ind w:left="10080" w:hanging="360"/>
      </w:pPr>
      <w:rPr>
        <w:rFonts w:ascii="Courier New" w:hAnsi="Courier New" w:cs="Courier New" w:hint="default"/>
      </w:rPr>
    </w:lvl>
    <w:lvl w:ilvl="8" w:tplc="969097B4" w:tentative="1">
      <w:start w:val="1"/>
      <w:numFmt w:val="bullet"/>
      <w:lvlText w:val=""/>
      <w:lvlJc w:val="left"/>
      <w:pPr>
        <w:ind w:left="10800" w:hanging="360"/>
      </w:pPr>
      <w:rPr>
        <w:rFonts w:ascii="Wingdings" w:hAnsi="Wingdings" w:hint="default"/>
      </w:rPr>
    </w:lvl>
  </w:abstractNum>
  <w:abstractNum w:abstractNumId="13" w15:restartNumberingAfterBreak="0">
    <w:nsid w:val="4E9B5816"/>
    <w:multiLevelType w:val="multilevel"/>
    <w:tmpl w:val="B13CDD56"/>
    <w:numStyleLink w:val="BulletedList"/>
  </w:abstractNum>
  <w:abstractNum w:abstractNumId="14" w15:restartNumberingAfterBreak="0">
    <w:nsid w:val="4F552E53"/>
    <w:multiLevelType w:val="multilevel"/>
    <w:tmpl w:val="B13CDD56"/>
    <w:numStyleLink w:val="BulletedList"/>
  </w:abstractNum>
  <w:abstractNum w:abstractNumId="15" w15:restartNumberingAfterBreak="0">
    <w:nsid w:val="62F21BF3"/>
    <w:multiLevelType w:val="hybridMultilevel"/>
    <w:tmpl w:val="919CA01C"/>
    <w:lvl w:ilvl="0" w:tplc="2CF4EA76">
      <w:start w:val="1"/>
      <w:numFmt w:val="bullet"/>
      <w:pStyle w:val="Bullet"/>
      <w:lvlText w:val=""/>
      <w:lvlJc w:val="left"/>
      <w:pPr>
        <w:ind w:left="720" w:hanging="360"/>
      </w:pPr>
      <w:rPr>
        <w:rFonts w:ascii="Symbol" w:hAnsi="Symbol" w:hint="default"/>
        <w:color w:val="CE2C43"/>
      </w:rPr>
    </w:lvl>
    <w:lvl w:ilvl="1" w:tplc="6F5A6298">
      <w:start w:val="1"/>
      <w:numFmt w:val="bullet"/>
      <w:lvlText w:val="o"/>
      <w:lvlJc w:val="left"/>
      <w:pPr>
        <w:ind w:left="1440" w:hanging="360"/>
      </w:pPr>
      <w:rPr>
        <w:rFonts w:ascii="Courier New" w:hAnsi="Courier New" w:cs="Courier New" w:hint="default"/>
      </w:rPr>
    </w:lvl>
    <w:lvl w:ilvl="2" w:tplc="C374E220">
      <w:start w:val="1"/>
      <w:numFmt w:val="bullet"/>
      <w:lvlText w:val=""/>
      <w:lvlJc w:val="left"/>
      <w:pPr>
        <w:ind w:left="2160" w:hanging="360"/>
      </w:pPr>
      <w:rPr>
        <w:rFonts w:ascii="Wingdings" w:hAnsi="Wingdings" w:hint="default"/>
      </w:rPr>
    </w:lvl>
    <w:lvl w:ilvl="3" w:tplc="A26ECB14">
      <w:start w:val="1"/>
      <w:numFmt w:val="bullet"/>
      <w:lvlText w:val=""/>
      <w:lvlJc w:val="left"/>
      <w:pPr>
        <w:ind w:left="2880" w:hanging="360"/>
      </w:pPr>
      <w:rPr>
        <w:rFonts w:ascii="Symbol" w:hAnsi="Symbol" w:hint="default"/>
      </w:rPr>
    </w:lvl>
    <w:lvl w:ilvl="4" w:tplc="5128F9A4" w:tentative="1">
      <w:start w:val="1"/>
      <w:numFmt w:val="bullet"/>
      <w:lvlText w:val="o"/>
      <w:lvlJc w:val="left"/>
      <w:pPr>
        <w:ind w:left="3600" w:hanging="360"/>
      </w:pPr>
      <w:rPr>
        <w:rFonts w:ascii="Courier New" w:hAnsi="Courier New" w:cs="Courier New" w:hint="default"/>
      </w:rPr>
    </w:lvl>
    <w:lvl w:ilvl="5" w:tplc="93F6A90A" w:tentative="1">
      <w:start w:val="1"/>
      <w:numFmt w:val="bullet"/>
      <w:lvlText w:val=""/>
      <w:lvlJc w:val="left"/>
      <w:pPr>
        <w:ind w:left="4320" w:hanging="360"/>
      </w:pPr>
      <w:rPr>
        <w:rFonts w:ascii="Wingdings" w:hAnsi="Wingdings" w:hint="default"/>
      </w:rPr>
    </w:lvl>
    <w:lvl w:ilvl="6" w:tplc="8BE8E576" w:tentative="1">
      <w:start w:val="1"/>
      <w:numFmt w:val="bullet"/>
      <w:lvlText w:val=""/>
      <w:lvlJc w:val="left"/>
      <w:pPr>
        <w:ind w:left="5040" w:hanging="360"/>
      </w:pPr>
      <w:rPr>
        <w:rFonts w:ascii="Symbol" w:hAnsi="Symbol" w:hint="default"/>
      </w:rPr>
    </w:lvl>
    <w:lvl w:ilvl="7" w:tplc="65A03994" w:tentative="1">
      <w:start w:val="1"/>
      <w:numFmt w:val="bullet"/>
      <w:lvlText w:val="o"/>
      <w:lvlJc w:val="left"/>
      <w:pPr>
        <w:ind w:left="5760" w:hanging="360"/>
      </w:pPr>
      <w:rPr>
        <w:rFonts w:ascii="Courier New" w:hAnsi="Courier New" w:cs="Courier New" w:hint="default"/>
      </w:rPr>
    </w:lvl>
    <w:lvl w:ilvl="8" w:tplc="5290BD5E" w:tentative="1">
      <w:start w:val="1"/>
      <w:numFmt w:val="bullet"/>
      <w:lvlText w:val=""/>
      <w:lvlJc w:val="left"/>
      <w:pPr>
        <w:ind w:left="6480" w:hanging="360"/>
      </w:pPr>
      <w:rPr>
        <w:rFonts w:ascii="Wingdings" w:hAnsi="Wingdings" w:hint="default"/>
      </w:rPr>
    </w:lvl>
  </w:abstractNum>
  <w:abstractNum w:abstractNumId="16" w15:restartNumberingAfterBreak="0">
    <w:nsid w:val="6380692C"/>
    <w:multiLevelType w:val="multilevel"/>
    <w:tmpl w:val="B13CDD56"/>
    <w:numStyleLink w:val="BulletedList"/>
  </w:abstractNum>
  <w:abstractNum w:abstractNumId="17" w15:restartNumberingAfterBreak="0">
    <w:nsid w:val="6F346A19"/>
    <w:multiLevelType w:val="hybridMultilevel"/>
    <w:tmpl w:val="A2763910"/>
    <w:lvl w:ilvl="0" w:tplc="39CE09C4">
      <w:start w:val="1"/>
      <w:numFmt w:val="bullet"/>
      <w:pStyle w:val="H-BulletList"/>
      <w:lvlText w:val=""/>
      <w:lvlJc w:val="left"/>
      <w:pPr>
        <w:ind w:left="288" w:hanging="216"/>
      </w:pPr>
      <w:rPr>
        <w:rFonts w:ascii="Symbol" w:hAnsi="Symbol" w:hint="default"/>
        <w:sz w:val="20"/>
        <w:szCs w:val="20"/>
      </w:rPr>
    </w:lvl>
    <w:lvl w:ilvl="1" w:tplc="ED289EB8">
      <w:start w:val="1"/>
      <w:numFmt w:val="bullet"/>
      <w:lvlText w:val="o"/>
      <w:lvlJc w:val="left"/>
      <w:pPr>
        <w:ind w:left="504" w:hanging="144"/>
      </w:pPr>
      <w:rPr>
        <w:rFonts w:ascii="Courier New" w:hAnsi="Courier New" w:hint="default"/>
      </w:rPr>
    </w:lvl>
    <w:lvl w:ilvl="2" w:tplc="6F28D932">
      <w:start w:val="1"/>
      <w:numFmt w:val="bullet"/>
      <w:lvlText w:val=""/>
      <w:lvlJc w:val="left"/>
      <w:pPr>
        <w:ind w:left="1008" w:hanging="288"/>
      </w:pPr>
      <w:rPr>
        <w:rFonts w:ascii="Wingdings" w:hAnsi="Wingdings" w:hint="default"/>
      </w:rPr>
    </w:lvl>
    <w:lvl w:ilvl="3" w:tplc="EEB8909A" w:tentative="1">
      <w:start w:val="1"/>
      <w:numFmt w:val="bullet"/>
      <w:lvlText w:val=""/>
      <w:lvlJc w:val="left"/>
      <w:pPr>
        <w:ind w:left="2880" w:hanging="360"/>
      </w:pPr>
      <w:rPr>
        <w:rFonts w:ascii="Symbol" w:hAnsi="Symbol" w:hint="default"/>
      </w:rPr>
    </w:lvl>
    <w:lvl w:ilvl="4" w:tplc="FA04F606" w:tentative="1">
      <w:start w:val="1"/>
      <w:numFmt w:val="bullet"/>
      <w:lvlText w:val="o"/>
      <w:lvlJc w:val="left"/>
      <w:pPr>
        <w:ind w:left="3600" w:hanging="360"/>
      </w:pPr>
      <w:rPr>
        <w:rFonts w:ascii="Courier New" w:hAnsi="Courier New" w:cs="Courier New" w:hint="default"/>
      </w:rPr>
    </w:lvl>
    <w:lvl w:ilvl="5" w:tplc="072467FC" w:tentative="1">
      <w:start w:val="1"/>
      <w:numFmt w:val="bullet"/>
      <w:lvlText w:val=""/>
      <w:lvlJc w:val="left"/>
      <w:pPr>
        <w:ind w:left="4320" w:hanging="360"/>
      </w:pPr>
      <w:rPr>
        <w:rFonts w:ascii="Wingdings" w:hAnsi="Wingdings" w:hint="default"/>
      </w:rPr>
    </w:lvl>
    <w:lvl w:ilvl="6" w:tplc="86307940" w:tentative="1">
      <w:start w:val="1"/>
      <w:numFmt w:val="bullet"/>
      <w:lvlText w:val=""/>
      <w:lvlJc w:val="left"/>
      <w:pPr>
        <w:ind w:left="5040" w:hanging="360"/>
      </w:pPr>
      <w:rPr>
        <w:rFonts w:ascii="Symbol" w:hAnsi="Symbol" w:hint="default"/>
      </w:rPr>
    </w:lvl>
    <w:lvl w:ilvl="7" w:tplc="FF7A9CE4" w:tentative="1">
      <w:start w:val="1"/>
      <w:numFmt w:val="bullet"/>
      <w:lvlText w:val="o"/>
      <w:lvlJc w:val="left"/>
      <w:pPr>
        <w:ind w:left="5760" w:hanging="360"/>
      </w:pPr>
      <w:rPr>
        <w:rFonts w:ascii="Courier New" w:hAnsi="Courier New" w:cs="Courier New" w:hint="default"/>
      </w:rPr>
    </w:lvl>
    <w:lvl w:ilvl="8" w:tplc="81C28D86" w:tentative="1">
      <w:start w:val="1"/>
      <w:numFmt w:val="bullet"/>
      <w:lvlText w:val=""/>
      <w:lvlJc w:val="left"/>
      <w:pPr>
        <w:ind w:left="6480" w:hanging="360"/>
      </w:pPr>
      <w:rPr>
        <w:rFonts w:ascii="Wingdings" w:hAnsi="Wingdings" w:hint="default"/>
      </w:rPr>
    </w:lvl>
  </w:abstractNum>
  <w:abstractNum w:abstractNumId="18" w15:restartNumberingAfterBreak="0">
    <w:nsid w:val="70D86126"/>
    <w:multiLevelType w:val="hybridMultilevel"/>
    <w:tmpl w:val="792E3A1A"/>
    <w:lvl w:ilvl="0" w:tplc="D4B4ADE4">
      <w:start w:val="1"/>
      <w:numFmt w:val="decimal"/>
      <w:pStyle w:val="Numbering"/>
      <w:lvlText w:val="%1."/>
      <w:lvlJc w:val="left"/>
      <w:pPr>
        <w:ind w:left="576" w:hanging="216"/>
      </w:pPr>
      <w:rPr>
        <w:rFonts w:hint="default"/>
      </w:rPr>
    </w:lvl>
    <w:lvl w:ilvl="1" w:tplc="8A9C0F68">
      <w:start w:val="1"/>
      <w:numFmt w:val="lowerLetter"/>
      <w:lvlText w:val="%2."/>
      <w:lvlJc w:val="left"/>
      <w:pPr>
        <w:ind w:left="936" w:hanging="216"/>
      </w:pPr>
      <w:rPr>
        <w:rFonts w:hint="default"/>
      </w:rPr>
    </w:lvl>
    <w:lvl w:ilvl="2" w:tplc="60480A68">
      <w:start w:val="1"/>
      <w:numFmt w:val="lowerRoman"/>
      <w:lvlText w:val="%3."/>
      <w:lvlJc w:val="right"/>
      <w:pPr>
        <w:ind w:left="1296" w:hanging="216"/>
      </w:pPr>
      <w:rPr>
        <w:rFonts w:hint="default"/>
      </w:rPr>
    </w:lvl>
    <w:lvl w:ilvl="3" w:tplc="B3AA1A76" w:tentative="1">
      <w:start w:val="1"/>
      <w:numFmt w:val="decimal"/>
      <w:lvlText w:val="%4."/>
      <w:lvlJc w:val="left"/>
      <w:pPr>
        <w:ind w:left="2880" w:hanging="360"/>
      </w:pPr>
    </w:lvl>
    <w:lvl w:ilvl="4" w:tplc="7632DAD6" w:tentative="1">
      <w:start w:val="1"/>
      <w:numFmt w:val="lowerLetter"/>
      <w:lvlText w:val="%5."/>
      <w:lvlJc w:val="left"/>
      <w:pPr>
        <w:ind w:left="3600" w:hanging="360"/>
      </w:pPr>
    </w:lvl>
    <w:lvl w:ilvl="5" w:tplc="F0E65D52" w:tentative="1">
      <w:start w:val="1"/>
      <w:numFmt w:val="lowerRoman"/>
      <w:lvlText w:val="%6."/>
      <w:lvlJc w:val="right"/>
      <w:pPr>
        <w:ind w:left="4320" w:hanging="180"/>
      </w:pPr>
    </w:lvl>
    <w:lvl w:ilvl="6" w:tplc="69685BAE" w:tentative="1">
      <w:start w:val="1"/>
      <w:numFmt w:val="decimal"/>
      <w:lvlText w:val="%7."/>
      <w:lvlJc w:val="left"/>
      <w:pPr>
        <w:ind w:left="5040" w:hanging="360"/>
      </w:pPr>
    </w:lvl>
    <w:lvl w:ilvl="7" w:tplc="AE10415E" w:tentative="1">
      <w:start w:val="1"/>
      <w:numFmt w:val="lowerLetter"/>
      <w:lvlText w:val="%8."/>
      <w:lvlJc w:val="left"/>
      <w:pPr>
        <w:ind w:left="5760" w:hanging="360"/>
      </w:pPr>
    </w:lvl>
    <w:lvl w:ilvl="8" w:tplc="2900682A" w:tentative="1">
      <w:start w:val="1"/>
      <w:numFmt w:val="lowerRoman"/>
      <w:lvlText w:val="%9."/>
      <w:lvlJc w:val="right"/>
      <w:pPr>
        <w:ind w:left="6480" w:hanging="180"/>
      </w:pPr>
    </w:lvl>
  </w:abstractNum>
  <w:abstractNum w:abstractNumId="19" w15:restartNumberingAfterBreak="0">
    <w:nsid w:val="730B4ECD"/>
    <w:multiLevelType w:val="hybridMultilevel"/>
    <w:tmpl w:val="6C406044"/>
    <w:lvl w:ilvl="0" w:tplc="9678E63A">
      <w:start w:val="1"/>
      <w:numFmt w:val="bullet"/>
      <w:pStyle w:val="BulletlistHighlight"/>
      <w:lvlText w:val=""/>
      <w:lvlJc w:val="left"/>
      <w:pPr>
        <w:ind w:left="288" w:hanging="288"/>
      </w:pPr>
      <w:rPr>
        <w:rFonts w:ascii="Symbol" w:hAnsi="Symbol" w:hint="default"/>
      </w:rPr>
    </w:lvl>
    <w:lvl w:ilvl="1" w:tplc="F6408C26">
      <w:start w:val="1"/>
      <w:numFmt w:val="bullet"/>
      <w:lvlText w:val="o"/>
      <w:lvlJc w:val="left"/>
      <w:pPr>
        <w:ind w:left="576" w:hanging="216"/>
      </w:pPr>
      <w:rPr>
        <w:rFonts w:ascii="Courier New" w:hAnsi="Courier New" w:hint="default"/>
      </w:rPr>
    </w:lvl>
    <w:lvl w:ilvl="2" w:tplc="1D60701C">
      <w:start w:val="1"/>
      <w:numFmt w:val="bullet"/>
      <w:lvlText w:val=""/>
      <w:lvlJc w:val="left"/>
      <w:pPr>
        <w:ind w:left="864" w:hanging="216"/>
      </w:pPr>
      <w:rPr>
        <w:rFonts w:ascii="Wingdings" w:hAnsi="Wingdings" w:hint="default"/>
      </w:rPr>
    </w:lvl>
    <w:lvl w:ilvl="3" w:tplc="5254F6B6" w:tentative="1">
      <w:start w:val="1"/>
      <w:numFmt w:val="bullet"/>
      <w:lvlText w:val=""/>
      <w:lvlJc w:val="left"/>
      <w:pPr>
        <w:ind w:left="2880" w:hanging="360"/>
      </w:pPr>
      <w:rPr>
        <w:rFonts w:ascii="Symbol" w:hAnsi="Symbol" w:hint="default"/>
      </w:rPr>
    </w:lvl>
    <w:lvl w:ilvl="4" w:tplc="403E0988" w:tentative="1">
      <w:start w:val="1"/>
      <w:numFmt w:val="bullet"/>
      <w:lvlText w:val="o"/>
      <w:lvlJc w:val="left"/>
      <w:pPr>
        <w:ind w:left="3600" w:hanging="360"/>
      </w:pPr>
      <w:rPr>
        <w:rFonts w:ascii="Courier New" w:hAnsi="Courier New" w:cs="Courier New" w:hint="default"/>
      </w:rPr>
    </w:lvl>
    <w:lvl w:ilvl="5" w:tplc="123A9118" w:tentative="1">
      <w:start w:val="1"/>
      <w:numFmt w:val="bullet"/>
      <w:lvlText w:val=""/>
      <w:lvlJc w:val="left"/>
      <w:pPr>
        <w:ind w:left="4320" w:hanging="360"/>
      </w:pPr>
      <w:rPr>
        <w:rFonts w:ascii="Wingdings" w:hAnsi="Wingdings" w:hint="default"/>
      </w:rPr>
    </w:lvl>
    <w:lvl w:ilvl="6" w:tplc="A8008724" w:tentative="1">
      <w:start w:val="1"/>
      <w:numFmt w:val="bullet"/>
      <w:lvlText w:val=""/>
      <w:lvlJc w:val="left"/>
      <w:pPr>
        <w:ind w:left="5040" w:hanging="360"/>
      </w:pPr>
      <w:rPr>
        <w:rFonts w:ascii="Symbol" w:hAnsi="Symbol" w:hint="default"/>
      </w:rPr>
    </w:lvl>
    <w:lvl w:ilvl="7" w:tplc="E6B67052" w:tentative="1">
      <w:start w:val="1"/>
      <w:numFmt w:val="bullet"/>
      <w:lvlText w:val="o"/>
      <w:lvlJc w:val="left"/>
      <w:pPr>
        <w:ind w:left="5760" w:hanging="360"/>
      </w:pPr>
      <w:rPr>
        <w:rFonts w:ascii="Courier New" w:hAnsi="Courier New" w:cs="Courier New" w:hint="default"/>
      </w:rPr>
    </w:lvl>
    <w:lvl w:ilvl="8" w:tplc="671AB3AE"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2"/>
  </w:num>
  <w:num w:numId="5">
    <w:abstractNumId w:val="19"/>
  </w:num>
  <w:num w:numId="6">
    <w:abstractNumId w:val="9"/>
  </w:num>
  <w:num w:numId="7">
    <w:abstractNumId w:val="8"/>
  </w:num>
  <w:num w:numId="8">
    <w:abstractNumId w:val="13"/>
  </w:num>
  <w:num w:numId="9">
    <w:abstractNumId w:val="6"/>
  </w:num>
  <w:num w:numId="10">
    <w:abstractNumId w:val="16"/>
  </w:num>
  <w:num w:numId="11">
    <w:abstractNumId w:val="0"/>
  </w:num>
  <w:num w:numId="12">
    <w:abstractNumId w:val="4"/>
  </w:num>
  <w:num w:numId="13">
    <w:abstractNumId w:val="14"/>
  </w:num>
  <w:num w:numId="14">
    <w:abstractNumId w:val="15"/>
  </w:num>
  <w:num w:numId="15">
    <w:abstractNumId w:val="7"/>
  </w:num>
  <w:num w:numId="16">
    <w:abstractNumId w:val="18"/>
  </w:num>
  <w:num w:numId="17">
    <w:abstractNumId w:val="18"/>
    <w:lvlOverride w:ilvl="0">
      <w:startOverride w:val="1"/>
    </w:lvlOverride>
  </w:num>
  <w:num w:numId="18">
    <w:abstractNumId w:val="5"/>
  </w:num>
  <w:num w:numId="19">
    <w:abstractNumId w:val="10"/>
  </w:num>
  <w:num w:numId="20">
    <w:abstractNumId w:val="17"/>
  </w:num>
  <w:num w:numId="21">
    <w:abstractNumId w:val="17"/>
    <w:lvlOverride w:ilvl="0">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1C"/>
    <w:rsid w:val="00036D4E"/>
    <w:rsid w:val="0007474F"/>
    <w:rsid w:val="000847AD"/>
    <w:rsid w:val="00084E5A"/>
    <w:rsid w:val="00090473"/>
    <w:rsid w:val="000B71D2"/>
    <w:rsid w:val="000E7FD8"/>
    <w:rsid w:val="0012162D"/>
    <w:rsid w:val="001327E9"/>
    <w:rsid w:val="0016683E"/>
    <w:rsid w:val="00171781"/>
    <w:rsid w:val="001725D9"/>
    <w:rsid w:val="0019038E"/>
    <w:rsid w:val="001B1A7E"/>
    <w:rsid w:val="001B5774"/>
    <w:rsid w:val="001D411C"/>
    <w:rsid w:val="00216A57"/>
    <w:rsid w:val="00233BA9"/>
    <w:rsid w:val="00235733"/>
    <w:rsid w:val="0024208C"/>
    <w:rsid w:val="0026000D"/>
    <w:rsid w:val="00274774"/>
    <w:rsid w:val="00282C22"/>
    <w:rsid w:val="002A16C1"/>
    <w:rsid w:val="002D5D76"/>
    <w:rsid w:val="002E210C"/>
    <w:rsid w:val="002F02F6"/>
    <w:rsid w:val="003243B0"/>
    <w:rsid w:val="003267EB"/>
    <w:rsid w:val="0035530B"/>
    <w:rsid w:val="0037553A"/>
    <w:rsid w:val="00377AA8"/>
    <w:rsid w:val="003802DB"/>
    <w:rsid w:val="003A270F"/>
    <w:rsid w:val="003A6B72"/>
    <w:rsid w:val="003C10A8"/>
    <w:rsid w:val="003F0AF0"/>
    <w:rsid w:val="00431B1C"/>
    <w:rsid w:val="00441851"/>
    <w:rsid w:val="00441DF1"/>
    <w:rsid w:val="00484002"/>
    <w:rsid w:val="00485C3A"/>
    <w:rsid w:val="004967FA"/>
    <w:rsid w:val="004A2196"/>
    <w:rsid w:val="004A65E6"/>
    <w:rsid w:val="004B125C"/>
    <w:rsid w:val="004F3C17"/>
    <w:rsid w:val="00500B71"/>
    <w:rsid w:val="005018E9"/>
    <w:rsid w:val="00526C74"/>
    <w:rsid w:val="00534014"/>
    <w:rsid w:val="0055475C"/>
    <w:rsid w:val="005572F0"/>
    <w:rsid w:val="00584B55"/>
    <w:rsid w:val="005A5BCC"/>
    <w:rsid w:val="005B0F71"/>
    <w:rsid w:val="005D05D9"/>
    <w:rsid w:val="005D6D21"/>
    <w:rsid w:val="005E5147"/>
    <w:rsid w:val="005F25FD"/>
    <w:rsid w:val="00677DD4"/>
    <w:rsid w:val="006C276F"/>
    <w:rsid w:val="006C43B1"/>
    <w:rsid w:val="006D0148"/>
    <w:rsid w:val="006E3B62"/>
    <w:rsid w:val="006F0DB8"/>
    <w:rsid w:val="007068E3"/>
    <w:rsid w:val="00707343"/>
    <w:rsid w:val="007201D3"/>
    <w:rsid w:val="007256DB"/>
    <w:rsid w:val="00726939"/>
    <w:rsid w:val="0073743A"/>
    <w:rsid w:val="00795E67"/>
    <w:rsid w:val="007E4497"/>
    <w:rsid w:val="00802FF0"/>
    <w:rsid w:val="00817EEE"/>
    <w:rsid w:val="008254B5"/>
    <w:rsid w:val="00826394"/>
    <w:rsid w:val="00837917"/>
    <w:rsid w:val="00844896"/>
    <w:rsid w:val="0084543D"/>
    <w:rsid w:val="008A7E71"/>
    <w:rsid w:val="008C01A9"/>
    <w:rsid w:val="008C3FE0"/>
    <w:rsid w:val="008C4D53"/>
    <w:rsid w:val="008C539C"/>
    <w:rsid w:val="008D0AE7"/>
    <w:rsid w:val="008F6F04"/>
    <w:rsid w:val="008F7B15"/>
    <w:rsid w:val="009233E3"/>
    <w:rsid w:val="00926535"/>
    <w:rsid w:val="009425D5"/>
    <w:rsid w:val="00947E11"/>
    <w:rsid w:val="0098636D"/>
    <w:rsid w:val="00993033"/>
    <w:rsid w:val="009A0DC9"/>
    <w:rsid w:val="009A1341"/>
    <w:rsid w:val="009A663E"/>
    <w:rsid w:val="009C3C1D"/>
    <w:rsid w:val="009D4BB6"/>
    <w:rsid w:val="009E4DC9"/>
    <w:rsid w:val="009F3CA3"/>
    <w:rsid w:val="009F63E8"/>
    <w:rsid w:val="00A337BD"/>
    <w:rsid w:val="00A357CD"/>
    <w:rsid w:val="00A47C53"/>
    <w:rsid w:val="00A55703"/>
    <w:rsid w:val="00A74389"/>
    <w:rsid w:val="00A83C9F"/>
    <w:rsid w:val="00A95ADA"/>
    <w:rsid w:val="00A97008"/>
    <w:rsid w:val="00AA15BC"/>
    <w:rsid w:val="00AC506A"/>
    <w:rsid w:val="00AD0649"/>
    <w:rsid w:val="00AD10F6"/>
    <w:rsid w:val="00AE17B7"/>
    <w:rsid w:val="00B143CD"/>
    <w:rsid w:val="00B27C10"/>
    <w:rsid w:val="00B43E57"/>
    <w:rsid w:val="00B92BA9"/>
    <w:rsid w:val="00BB01FE"/>
    <w:rsid w:val="00C42F19"/>
    <w:rsid w:val="00C73867"/>
    <w:rsid w:val="00C73DB9"/>
    <w:rsid w:val="00C84C66"/>
    <w:rsid w:val="00C9359B"/>
    <w:rsid w:val="00CA2B37"/>
    <w:rsid w:val="00CB1EA4"/>
    <w:rsid w:val="00CB6777"/>
    <w:rsid w:val="00CB7D73"/>
    <w:rsid w:val="00CF5E21"/>
    <w:rsid w:val="00CF73B5"/>
    <w:rsid w:val="00D02030"/>
    <w:rsid w:val="00D03158"/>
    <w:rsid w:val="00D16A46"/>
    <w:rsid w:val="00D379D5"/>
    <w:rsid w:val="00D62A04"/>
    <w:rsid w:val="00D64548"/>
    <w:rsid w:val="00D72A70"/>
    <w:rsid w:val="00D76FCB"/>
    <w:rsid w:val="00D8467E"/>
    <w:rsid w:val="00DA30FA"/>
    <w:rsid w:val="00DA66E0"/>
    <w:rsid w:val="00DA6EE9"/>
    <w:rsid w:val="00DC3880"/>
    <w:rsid w:val="00DD505E"/>
    <w:rsid w:val="00E1040F"/>
    <w:rsid w:val="00E16E6C"/>
    <w:rsid w:val="00E16FF3"/>
    <w:rsid w:val="00E35D2E"/>
    <w:rsid w:val="00E6115F"/>
    <w:rsid w:val="00E95E6B"/>
    <w:rsid w:val="00EA2BB6"/>
    <w:rsid w:val="00EC1229"/>
    <w:rsid w:val="00EC2053"/>
    <w:rsid w:val="00EF5623"/>
    <w:rsid w:val="00EF7BE8"/>
    <w:rsid w:val="00F021E9"/>
    <w:rsid w:val="00F7066D"/>
    <w:rsid w:val="00F7586D"/>
    <w:rsid w:val="00F77321"/>
    <w:rsid w:val="00F94BCE"/>
    <w:rsid w:val="00FE2115"/>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93DD4-67EB-49D5-A40F-C0408832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BodyText2"/>
    <w:next w:val="Normal"/>
    <w:link w:val="Heading1Char"/>
    <w:uiPriority w:val="9"/>
    <w:rsid w:val="00431B1C"/>
    <w:pPr>
      <w:spacing w:before="240" w:line="240" w:lineRule="auto"/>
      <w:outlineLvl w:val="0"/>
    </w:pPr>
    <w:rPr>
      <w:rFonts w:ascii="Calibri" w:eastAsia="Times New Roman" w:hAnsi="Calibri" w:cs="Times New Roman"/>
      <w:b/>
      <w:caps/>
      <w:color w:val="BC5D58"/>
      <w:sz w:val="24"/>
      <w:szCs w:val="20"/>
    </w:rPr>
  </w:style>
  <w:style w:type="paragraph" w:styleId="Heading2">
    <w:name w:val="heading 2"/>
    <w:basedOn w:val="Normal"/>
    <w:next w:val="Normal"/>
    <w:link w:val="Heading2Char"/>
    <w:uiPriority w:val="9"/>
    <w:rsid w:val="00431B1C"/>
    <w:pPr>
      <w:spacing w:before="240" w:after="120"/>
      <w:outlineLvl w:val="1"/>
    </w:pPr>
    <w:rPr>
      <w:rFonts w:ascii="Calibri" w:eastAsia="Calibri" w:hAnsi="Calibri" w:cs="Times New Roman"/>
      <w:b/>
      <w:i/>
      <w:color w:val="BC5D5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036D4E"/>
    <w:pPr>
      <w:spacing w:after="120" w:line="228" w:lineRule="auto"/>
    </w:pPr>
    <w:rPr>
      <w:b/>
      <w:color w:val="CE2C43"/>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036D4E"/>
    <w:rPr>
      <w:b/>
      <w:color w:val="CE2C43"/>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F77321"/>
    <w:pPr>
      <w:spacing w:after="60"/>
    </w:pPr>
  </w:style>
  <w:style w:type="paragraph" w:customStyle="1" w:styleId="Checkbox">
    <w:name w:val="Checkbox"/>
    <w:basedOn w:val="BulletList"/>
    <w:link w:val="CheckboxChar"/>
    <w:qFormat/>
    <w:rsid w:val="00CB7D73"/>
    <w:pPr>
      <w:numPr>
        <w:numId w:val="3"/>
      </w:numPr>
      <w:tabs>
        <w:tab w:val="left" w:pos="540"/>
      </w:tabs>
      <w:ind w:left="360"/>
    </w:pPr>
  </w:style>
  <w:style w:type="character" w:customStyle="1" w:styleId="BulletListChar">
    <w:name w:val="Bullet List Char"/>
    <w:basedOn w:val="BodyTextChar"/>
    <w:link w:val="BulletList"/>
    <w:rsid w:val="00F77321"/>
    <w:rPr>
      <w:rFonts w:ascii="Calibri" w:eastAsia="Times New Roman" w:hAnsi="Calibri" w:cs="Arial"/>
      <w:color w:val="595959"/>
      <w:szCs w:val="20"/>
    </w:rPr>
  </w:style>
  <w:style w:type="paragraph" w:customStyle="1" w:styleId="Xbox">
    <w:name w:val="Xbox"/>
    <w:basedOn w:val="Checkbox"/>
    <w:link w:val="XboxChar"/>
    <w:qFormat/>
    <w:rsid w:val="001D411C"/>
    <w:pPr>
      <w:numPr>
        <w:numId w:val="4"/>
      </w:numPr>
    </w:pPr>
  </w:style>
  <w:style w:type="character" w:customStyle="1" w:styleId="CheckboxChar">
    <w:name w:val="Checkbox Char"/>
    <w:basedOn w:val="BulletListChar"/>
    <w:link w:val="Checkbox"/>
    <w:rsid w:val="00CB7D73"/>
    <w:rPr>
      <w:rFonts w:ascii="Calibri" w:eastAsia="Times New Roman" w:hAnsi="Calibri" w:cs="Arial"/>
      <w:color w:val="595959"/>
      <w:szCs w:val="20"/>
    </w:rPr>
  </w:style>
  <w:style w:type="paragraph" w:customStyle="1" w:styleId="CallOutBox">
    <w:name w:val="Call Out Box"/>
    <w:basedOn w:val="Footer"/>
    <w:link w:val="CallOutBoxChar"/>
    <w:qFormat/>
    <w:rsid w:val="00036D4E"/>
    <w:pPr>
      <w:jc w:val="center"/>
    </w:pPr>
    <w:rPr>
      <w:b/>
      <w:i/>
      <w:color w:val="CE2C43"/>
      <w:sz w:val="36"/>
      <w:szCs w:val="36"/>
    </w:rPr>
  </w:style>
  <w:style w:type="character" w:customStyle="1" w:styleId="XboxChar">
    <w:name w:val="Xbox Char"/>
    <w:basedOn w:val="CheckboxChar"/>
    <w:link w:val="Xbox"/>
    <w:rsid w:val="001D411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036D4E"/>
    <w:rPr>
      <w:b/>
      <w:i/>
      <w:color w:val="CE2C43"/>
      <w:sz w:val="36"/>
      <w:szCs w:val="36"/>
    </w:rPr>
  </w:style>
  <w:style w:type="paragraph" w:customStyle="1" w:styleId="TableHeader">
    <w:name w:val="Table Header"/>
    <w:basedOn w:val="BodyText"/>
    <w:link w:val="TableHeaderChar"/>
    <w:qFormat/>
    <w:rsid w:val="003802DB"/>
    <w:pPr>
      <w:spacing w:before="80" w:after="80"/>
      <w:jc w:val="center"/>
    </w:pPr>
    <w:rPr>
      <w:b/>
      <w:color w:val="FFFFFF" w:themeColor="background1"/>
      <w:sz w:val="26"/>
      <w:szCs w:val="26"/>
    </w:rPr>
  </w:style>
  <w:style w:type="character" w:customStyle="1" w:styleId="TableHeaderChar">
    <w:name w:val="Table Header Char"/>
    <w:basedOn w:val="BodyTextChar"/>
    <w:link w:val="TableHeader"/>
    <w:rsid w:val="003802DB"/>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036D4E"/>
    <w:pPr>
      <w:spacing w:before="120" w:after="120" w:line="240" w:lineRule="auto"/>
    </w:pPr>
    <w:rPr>
      <w:rFonts w:ascii="Calibri" w:eastAsia="Times New Roman" w:hAnsi="Calibri" w:cs="Times New Roman"/>
      <w:b/>
      <w:caps/>
      <w:color w:val="CE2C43"/>
      <w:sz w:val="28"/>
      <w:szCs w:val="20"/>
    </w:rPr>
  </w:style>
  <w:style w:type="character" w:customStyle="1" w:styleId="LR-HeadingChar">
    <w:name w:val="LR-Heading Char"/>
    <w:link w:val="LR-Heading"/>
    <w:rsid w:val="00036D4E"/>
    <w:rPr>
      <w:rFonts w:ascii="Calibri" w:eastAsia="Times New Roman" w:hAnsi="Calibri" w:cs="Times New Roman"/>
      <w:b/>
      <w:caps/>
      <w:color w:val="CE2C43"/>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paragraph" w:customStyle="1" w:styleId="SectionedHeader">
    <w:name w:val="Sectioned Header"/>
    <w:basedOn w:val="SubHeader"/>
    <w:link w:val="SectionedHeaderChar"/>
    <w:qFormat/>
    <w:rsid w:val="00036D4E"/>
    <w:rPr>
      <w:color w:val="CE2C43"/>
      <w:sz w:val="32"/>
      <w:szCs w:val="32"/>
    </w:rPr>
  </w:style>
  <w:style w:type="character" w:customStyle="1" w:styleId="SectionedHeaderChar">
    <w:name w:val="Sectioned Header Char"/>
    <w:basedOn w:val="SubHeaderChar"/>
    <w:link w:val="SectionedHeader"/>
    <w:rsid w:val="00036D4E"/>
    <w:rPr>
      <w:rFonts w:ascii="Calibri" w:eastAsia="Times New Roman" w:hAnsi="Calibri" w:cs="Arial"/>
      <w:b/>
      <w:color w:val="CE2C43"/>
      <w:sz w:val="32"/>
      <w:szCs w:val="32"/>
    </w:rPr>
  </w:style>
  <w:style w:type="numbering" w:customStyle="1" w:styleId="BulletedList">
    <w:name w:val="Bulleted List"/>
    <w:uiPriority w:val="99"/>
    <w:rsid w:val="00441DF1"/>
    <w:pPr>
      <w:numPr>
        <w:numId w:val="7"/>
      </w:numPr>
    </w:pPr>
  </w:style>
  <w:style w:type="paragraph" w:customStyle="1" w:styleId="Bullet">
    <w:name w:val="Bullet"/>
    <w:basedOn w:val="BodyText"/>
    <w:link w:val="BulletChar"/>
    <w:qFormat/>
    <w:rsid w:val="00431B1C"/>
    <w:pPr>
      <w:numPr>
        <w:numId w:val="14"/>
      </w:numPr>
    </w:pPr>
  </w:style>
  <w:style w:type="character" w:customStyle="1" w:styleId="BulletChar">
    <w:name w:val="Bullet Char"/>
    <w:basedOn w:val="BodyTextChar"/>
    <w:link w:val="Bullet"/>
    <w:rsid w:val="00431B1C"/>
    <w:rPr>
      <w:rFonts w:ascii="Calibri" w:eastAsia="Times New Roman" w:hAnsi="Calibri" w:cs="Arial"/>
      <w:color w:val="595959"/>
      <w:szCs w:val="20"/>
    </w:rPr>
  </w:style>
  <w:style w:type="character" w:customStyle="1" w:styleId="UnresolvedMention1">
    <w:name w:val="Unresolved Mention1"/>
    <w:basedOn w:val="DefaultParagraphFont"/>
    <w:uiPriority w:val="99"/>
    <w:semiHidden/>
    <w:unhideWhenUsed/>
    <w:rsid w:val="00431B1C"/>
    <w:rPr>
      <w:color w:val="605E5C"/>
      <w:shd w:val="clear" w:color="auto" w:fill="E1DFDD"/>
    </w:rPr>
  </w:style>
  <w:style w:type="character" w:customStyle="1" w:styleId="Heading1Char">
    <w:name w:val="Heading 1 Char"/>
    <w:basedOn w:val="DefaultParagraphFont"/>
    <w:link w:val="Heading1"/>
    <w:uiPriority w:val="9"/>
    <w:rsid w:val="00431B1C"/>
    <w:rPr>
      <w:rFonts w:ascii="Calibri" w:eastAsia="Times New Roman" w:hAnsi="Calibri" w:cs="Times New Roman"/>
      <w:b/>
      <w:caps/>
      <w:color w:val="BC5D58"/>
      <w:sz w:val="24"/>
      <w:szCs w:val="20"/>
    </w:rPr>
  </w:style>
  <w:style w:type="character" w:customStyle="1" w:styleId="Heading2Char">
    <w:name w:val="Heading 2 Char"/>
    <w:basedOn w:val="DefaultParagraphFont"/>
    <w:link w:val="Heading2"/>
    <w:uiPriority w:val="9"/>
    <w:rsid w:val="00431B1C"/>
    <w:rPr>
      <w:rFonts w:ascii="Calibri" w:eastAsia="Calibri" w:hAnsi="Calibri" w:cs="Times New Roman"/>
      <w:b/>
      <w:i/>
      <w:color w:val="BC5D58"/>
      <w:sz w:val="24"/>
    </w:rPr>
  </w:style>
  <w:style w:type="paragraph" w:customStyle="1" w:styleId="Numbering">
    <w:name w:val="Numbering"/>
    <w:basedOn w:val="BodyText"/>
    <w:link w:val="NumberingChar"/>
    <w:rsid w:val="00431B1C"/>
    <w:pPr>
      <w:numPr>
        <w:numId w:val="16"/>
      </w:numPr>
      <w:spacing w:before="120" w:after="120"/>
    </w:pPr>
  </w:style>
  <w:style w:type="character" w:customStyle="1" w:styleId="NumberingChar">
    <w:name w:val="Numbering Char"/>
    <w:basedOn w:val="BodyTextChar"/>
    <w:link w:val="Numbering"/>
    <w:rsid w:val="00431B1C"/>
    <w:rPr>
      <w:rFonts w:ascii="Calibri" w:eastAsia="Times New Roman" w:hAnsi="Calibri" w:cs="Arial"/>
      <w:color w:val="595959"/>
      <w:szCs w:val="20"/>
    </w:rPr>
  </w:style>
  <w:style w:type="character" w:styleId="FollowedHyperlink">
    <w:name w:val="FollowedHyperlink"/>
    <w:basedOn w:val="DefaultParagraphFont"/>
    <w:uiPriority w:val="99"/>
    <w:semiHidden/>
    <w:unhideWhenUsed/>
    <w:rsid w:val="00DA66E0"/>
    <w:rPr>
      <w:color w:val="954F72" w:themeColor="followedHyperlink"/>
      <w:u w:val="single"/>
    </w:rPr>
  </w:style>
  <w:style w:type="paragraph" w:customStyle="1" w:styleId="T-Text">
    <w:name w:val="T-Text"/>
    <w:basedOn w:val="BodyText"/>
    <w:link w:val="T-TextChar"/>
    <w:rsid w:val="009233E3"/>
    <w:pPr>
      <w:spacing w:before="80" w:after="80"/>
      <w:jc w:val="left"/>
    </w:pPr>
  </w:style>
  <w:style w:type="character" w:customStyle="1" w:styleId="T-TextChar">
    <w:name w:val="T-Text Char"/>
    <w:link w:val="T-Text"/>
    <w:rsid w:val="009233E3"/>
    <w:rPr>
      <w:rFonts w:ascii="Calibri" w:eastAsia="Times New Roman" w:hAnsi="Calibri" w:cs="Arial"/>
      <w:color w:val="595959"/>
      <w:szCs w:val="20"/>
    </w:rPr>
  </w:style>
  <w:style w:type="paragraph" w:customStyle="1" w:styleId="H-BulletList">
    <w:name w:val="H-Bullet List"/>
    <w:basedOn w:val="Normal"/>
    <w:link w:val="H-BulletListChar"/>
    <w:qFormat/>
    <w:rsid w:val="00B143CD"/>
    <w:pPr>
      <w:numPr>
        <w:numId w:val="20"/>
      </w:numPr>
      <w:spacing w:before="120" w:after="120" w:line="240" w:lineRule="auto"/>
    </w:pPr>
    <w:rPr>
      <w:rFonts w:ascii="Calibri" w:eastAsia="Calibri" w:hAnsi="Calibri" w:cs="Times New Roman"/>
      <w:color w:val="595959"/>
      <w:szCs w:val="24"/>
    </w:rPr>
  </w:style>
  <w:style w:type="character" w:customStyle="1" w:styleId="H-BulletListChar">
    <w:name w:val="H-Bullet List Char"/>
    <w:link w:val="H-BulletList"/>
    <w:rsid w:val="00B143CD"/>
    <w:rPr>
      <w:rFonts w:ascii="Calibri" w:eastAsia="Calibri" w:hAnsi="Calibri" w:cs="Times New Roman"/>
      <w:color w:val="595959"/>
      <w:szCs w:val="24"/>
    </w:rPr>
  </w:style>
  <w:style w:type="paragraph" w:customStyle="1" w:styleId="T-BulletList">
    <w:name w:val="T-Bullet List"/>
    <w:basedOn w:val="ListParagraph"/>
    <w:link w:val="T-BulletListChar"/>
    <w:rsid w:val="009233E3"/>
    <w:pPr>
      <w:numPr>
        <w:numId w:val="22"/>
      </w:numPr>
      <w:spacing w:before="120" w:after="120" w:line="240" w:lineRule="auto"/>
      <w:contextualSpacing w:val="0"/>
    </w:pPr>
    <w:rPr>
      <w:rFonts w:ascii="Calibri" w:eastAsia="Calibri" w:hAnsi="Calibri" w:cs="Times New Roman"/>
      <w:color w:val="595959"/>
      <w:szCs w:val="20"/>
    </w:rPr>
  </w:style>
  <w:style w:type="character" w:customStyle="1" w:styleId="T-BulletListChar">
    <w:name w:val="T-Bullet List Char"/>
    <w:link w:val="T-BulletList"/>
    <w:rsid w:val="009233E3"/>
    <w:rPr>
      <w:rFonts w:ascii="Calibri" w:eastAsia="Calibri" w:hAnsi="Calibri" w:cs="Times New Roman"/>
      <w:color w:val="595959"/>
      <w:szCs w:val="20"/>
    </w:rPr>
  </w:style>
  <w:style w:type="paragraph" w:styleId="ListParagraph">
    <w:name w:val="List Paragraph"/>
    <w:basedOn w:val="Normal"/>
    <w:uiPriority w:val="34"/>
    <w:rsid w:val="0092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rs.gov/pub/irs-pdf/i720.pdf" TargetMode="External"/><Relationship Id="rId26" Type="http://schemas.openxmlformats.org/officeDocument/2006/relationships/hyperlink" Target="https://www.irs.gov/affordable-care-act/patient-centered-outreach-research-institute-filing-due-dates-and-applicable-rates" TargetMode="External"/><Relationship Id="rId39" Type="http://schemas.openxmlformats.org/officeDocument/2006/relationships/footer" Target="footer2.xml"/><Relationship Id="rId21" Type="http://schemas.openxmlformats.org/officeDocument/2006/relationships/hyperlink" Target="http://www.gpo.gov/fdsys/pkg/FR-2012-12-06/pdf/2012-29325.pdf" TargetMode="External"/><Relationship Id="rId34" Type="http://schemas.openxmlformats.org/officeDocument/2006/relationships/hyperlink" Target="http://www.irs.gov/uac/Form-720-X,-Amended-Quarterly-Federal-Excise-Tax-Retur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rs.gov/affordable-care-act/patient-centered-outcomes-research-trust-fund-fee-questions-and-answers" TargetMode="External"/><Relationship Id="rId20" Type="http://schemas.openxmlformats.org/officeDocument/2006/relationships/hyperlink" Target="https://www.congress.gov/bill/116th-congress/house-bill/1865/text" TargetMode="External"/><Relationship Id="rId29" Type="http://schemas.openxmlformats.org/officeDocument/2006/relationships/hyperlink" Target="https://www.congress.gov/bill/116th-congress/house-bill/1865/tex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pub/irs-pdf/f720.pdf" TargetMode="External"/><Relationship Id="rId24" Type="http://schemas.openxmlformats.org/officeDocument/2006/relationships/hyperlink" Target="http://www.irs.gov/pub/irs-pdf/f720.pdf" TargetMode="External"/><Relationship Id="rId32" Type="http://schemas.openxmlformats.org/officeDocument/2006/relationships/hyperlink" Target="http://www.irs.gov/pub/irs-pdf/f720.pdf" TargetMode="External"/><Relationship Id="rId37" Type="http://schemas.openxmlformats.org/officeDocument/2006/relationships/hyperlink" Target="http://www.IRS.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rs.gov/uac/Newsroom/Patient-Centered-Outcomes-Research-Institute-Fee" TargetMode="External"/><Relationship Id="rId23" Type="http://schemas.openxmlformats.org/officeDocument/2006/relationships/hyperlink" Target="https://www.irs.gov/affordable-care-act/patient-centered-outcomes-research-trust-fund-fee-questions-and-answers" TargetMode="External"/><Relationship Id="rId28" Type="http://schemas.openxmlformats.org/officeDocument/2006/relationships/hyperlink" Target="https://www.irs.gov/affordable-care-act/patient-centered-outcomes-research-trust-fund-fee-questions-and-answers" TargetMode="External"/><Relationship Id="rId36" Type="http://schemas.openxmlformats.org/officeDocument/2006/relationships/hyperlink" Target="http://www.irs.gov/uac/Form-720-X,-Amended-Quarterly-Federal-Excise-Tax-Return" TargetMode="External"/><Relationship Id="rId10" Type="http://schemas.openxmlformats.org/officeDocument/2006/relationships/hyperlink" Target="https://www.congress.gov/bill/116th-congress/house-bill/1865/text" TargetMode="External"/><Relationship Id="rId19" Type="http://schemas.openxmlformats.org/officeDocument/2006/relationships/hyperlink" Target="https://www.irs.gov/affordable-care-act/patient-centered-outreach-research-institute-filing-due-dates-and-applicable-rates" TargetMode="External"/><Relationship Id="rId31" Type="http://schemas.openxmlformats.org/officeDocument/2006/relationships/hyperlink" Target="https://www.irs.gov/pub/irs-drop/n-20-44.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po.gov/fdsys/pkg/FR-2012-12-06/pdf/2012-29325.pdf" TargetMode="External"/><Relationship Id="rId22" Type="http://schemas.openxmlformats.org/officeDocument/2006/relationships/hyperlink" Target="https://www.irs.gov/uac/Newsroom/Patient-Centered-Outcomes-Research-Institute-Fee" TargetMode="External"/><Relationship Id="rId27" Type="http://schemas.openxmlformats.org/officeDocument/2006/relationships/hyperlink" Target="https://www.congress.gov/bill/116th-congress/house-bill/1865/text" TargetMode="External"/><Relationship Id="rId30" Type="http://schemas.openxmlformats.org/officeDocument/2006/relationships/hyperlink" Target="http://www.gpo.gov/fdsys/pkg/FR-2012-12-06/pdf/2012-29325.pdf" TargetMode="External"/><Relationship Id="rId35" Type="http://schemas.openxmlformats.org/officeDocument/2006/relationships/hyperlink" Target="http://www.IRS.gov"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rs.gov/pub/irs-pdf/f720.pdf" TargetMode="External"/><Relationship Id="rId25" Type="http://schemas.openxmlformats.org/officeDocument/2006/relationships/hyperlink" Target="http://www.irs.gov/pub/irs-pdf/i720.pdf" TargetMode="External"/><Relationship Id="rId33" Type="http://schemas.openxmlformats.org/officeDocument/2006/relationships/hyperlink" Target="https://www.congress.gov/bill/116th-congress/house-bill/1865/text"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Rollefson, Becca</dc:creator>
  <cp:lastModifiedBy>John Kulp</cp:lastModifiedBy>
  <cp:revision>2</cp:revision>
  <dcterms:created xsi:type="dcterms:W3CDTF">2023-04-14T18:10:00Z</dcterms:created>
  <dcterms:modified xsi:type="dcterms:W3CDTF">2023-04-14T18:10:00Z</dcterms:modified>
</cp:coreProperties>
</file>