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3956934"/>
    <w:p w14:paraId="7FF3B1A0" w14:textId="228F406B" w:rsidR="00841712" w:rsidRDefault="004D17AF" w:rsidP="00841712">
      <w:pPr>
        <w:rPr>
          <w:rFonts w:ascii="Times New Roman" w:eastAsia="Calibri" w:hAnsi="Times New Roman" w:cs="Times New Roman"/>
          <w:b/>
          <w:bCs/>
          <w:sz w:val="24"/>
          <w:szCs w:val="24"/>
        </w:rPr>
      </w:pPr>
      <w:r>
        <w:rPr>
          <w:noProof/>
          <w:color w:val="7030A0"/>
          <w:sz w:val="56"/>
        </w:rPr>
        <mc:AlternateContent>
          <mc:Choice Requires="wps">
            <w:drawing>
              <wp:anchor distT="0" distB="0" distL="114300" distR="114300" simplePos="0" relativeHeight="251659264" behindDoc="0" locked="0" layoutInCell="1" allowOverlap="1" wp14:anchorId="43E4E760" wp14:editId="49631133">
                <wp:simplePos x="0" y="0"/>
                <wp:positionH relativeFrom="page">
                  <wp:align>right</wp:align>
                </wp:positionH>
                <wp:positionV relativeFrom="paragraph">
                  <wp:posOffset>-457200</wp:posOffset>
                </wp:positionV>
                <wp:extent cx="7800975" cy="857250"/>
                <wp:effectExtent l="0" t="0" r="9525" b="0"/>
                <wp:wrapNone/>
                <wp:docPr id="39" name="Rectangle 39"/>
                <wp:cNvGraphicFramePr/>
                <a:graphic xmlns:a="http://schemas.openxmlformats.org/drawingml/2006/main">
                  <a:graphicData uri="http://schemas.microsoft.com/office/word/2010/wordprocessingShape">
                    <wps:wsp>
                      <wps:cNvSpPr/>
                      <wps:spPr>
                        <a:xfrm>
                          <a:off x="0" y="0"/>
                          <a:ext cx="7800975" cy="857250"/>
                        </a:xfrm>
                        <a:prstGeom prst="rect">
                          <a:avLst/>
                        </a:prstGeom>
                        <a:solidFill>
                          <a:srgbClr val="7623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5BAB5" id="Rectangle 39" o:spid="_x0000_s1026" style="position:absolute;margin-left:563.05pt;margin-top:-36pt;width:614.25pt;height:6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" fillcolor="#76236c" stroked="f" strokeweight="1pt">
                <w10:wrap anchorx="page"/>
              </v:rect>
            </w:pict>
          </mc:Fallback>
        </mc:AlternateContent>
      </w:r>
      <w:r w:rsidR="0094461B" w:rsidRPr="0093684E">
        <w:rPr>
          <w:noProof/>
          <w:color w:val="000000" w:themeColor="text1"/>
        </w:rPr>
        <mc:AlternateContent>
          <mc:Choice Requires="wps">
            <w:drawing>
              <wp:anchor distT="45720" distB="45720" distL="114300" distR="114300" simplePos="0" relativeHeight="251661312" behindDoc="0" locked="0" layoutInCell="1" allowOverlap="1" wp14:anchorId="389045C1" wp14:editId="0AFB9793">
                <wp:simplePos x="0" y="0"/>
                <wp:positionH relativeFrom="margin">
                  <wp:posOffset>-152400</wp:posOffset>
                </wp:positionH>
                <wp:positionV relativeFrom="paragraph">
                  <wp:posOffset>-247650</wp:posOffset>
                </wp:positionV>
                <wp:extent cx="7416800" cy="78740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78740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60734AA8" w14:textId="438368ED" w:rsidR="00482F58" w:rsidRPr="0003421B" w:rsidRDefault="00482F58" w:rsidP="00482F58">
                            <w:pPr>
                              <w:snapToGrid w:val="0"/>
                              <w:spacing w:after="0" w:line="240" w:lineRule="auto"/>
                              <w:rPr>
                                <w:rFonts w:ascii="Times New Roman" w:hAnsi="Times New Roman" w:cs="Times New Roman"/>
                                <w:color w:val="FFFFFF" w:themeColor="background1"/>
                                <w:sz w:val="28"/>
                                <w:szCs w:val="36"/>
                              </w:rPr>
                            </w:pPr>
                            <w:r w:rsidRPr="004D17AF">
                              <w:rPr>
                                <w:rFonts w:ascii="Times New Roman" w:hAnsi="Times New Roman" w:cs="Times New Roman"/>
                                <w:b/>
                                <w:bCs/>
                                <w:color w:val="FFFFFF" w:themeColor="background1"/>
                                <w:sz w:val="32"/>
                                <w:szCs w:val="44"/>
                              </w:rPr>
                              <w:t>Employer/Producer FAQs</w:t>
                            </w:r>
                            <w:r w:rsidR="004D17AF" w:rsidRPr="004D17AF">
                              <w:rPr>
                                <w:rFonts w:ascii="Times New Roman" w:hAnsi="Times New Roman" w:cs="Times New Roman"/>
                                <w:b/>
                                <w:bCs/>
                                <w:color w:val="FFFFFF" w:themeColor="background1"/>
                                <w:sz w:val="36"/>
                                <w:szCs w:val="48"/>
                              </w:rPr>
                              <w:t xml:space="preserve">: </w:t>
                            </w:r>
                            <w:r w:rsidR="00D406AD" w:rsidRPr="004D17AF">
                              <w:rPr>
                                <w:rFonts w:ascii="Times New Roman" w:hAnsi="Times New Roman" w:cs="Times New Roman"/>
                                <w:b/>
                                <w:bCs/>
                                <w:color w:val="FFFFFF" w:themeColor="background1"/>
                                <w:sz w:val="32"/>
                                <w:szCs w:val="44"/>
                              </w:rPr>
                              <w:t xml:space="preserve">Consolidated Appropriations Act </w:t>
                            </w:r>
                            <w:r w:rsidR="004D17AF" w:rsidRPr="004D17AF">
                              <w:rPr>
                                <w:rFonts w:ascii="Times New Roman" w:hAnsi="Times New Roman" w:cs="Times New Roman"/>
                                <w:b/>
                                <w:bCs/>
                                <w:color w:val="FFFFFF" w:themeColor="background1"/>
                                <w:sz w:val="32"/>
                                <w:szCs w:val="44"/>
                              </w:rPr>
                              <w:t xml:space="preserve">(CAA) </w:t>
                            </w:r>
                            <w:r w:rsidR="00C44734" w:rsidRPr="004D17AF">
                              <w:rPr>
                                <w:rFonts w:ascii="Times New Roman" w:hAnsi="Times New Roman" w:cs="Times New Roman"/>
                                <w:b/>
                                <w:bCs/>
                                <w:color w:val="FFFFFF" w:themeColor="background1"/>
                                <w:sz w:val="32"/>
                                <w:szCs w:val="44"/>
                              </w:rPr>
                              <w:t>Section 204</w:t>
                            </w:r>
                            <w:r w:rsidRPr="004D17AF">
                              <w:rPr>
                                <w:rFonts w:ascii="Times New Roman" w:hAnsi="Times New Roman" w:cs="Times New Roman"/>
                                <w:color w:val="FFFFFF" w:themeColor="background1"/>
                                <w:sz w:val="32"/>
                                <w:szCs w:val="44"/>
                              </w:rPr>
                              <w:t xml:space="preserve"> </w:t>
                            </w:r>
                            <w:r w:rsidRPr="00C131E7">
                              <w:rPr>
                                <w:rFonts w:ascii="Times New Roman" w:hAnsi="Times New Roman" w:cs="Times New Roman"/>
                                <w:b/>
                                <w:bCs/>
                                <w:color w:val="FFFFFF" w:themeColor="background1"/>
                                <w:sz w:val="36"/>
                                <w:szCs w:val="48"/>
                              </w:rPr>
                              <w:br/>
                            </w:r>
                            <w:r w:rsidR="0009094D" w:rsidRPr="004D17AF">
                              <w:rPr>
                                <w:rFonts w:ascii="Times New Roman" w:hAnsi="Times New Roman" w:cs="Times New Roman"/>
                                <w:color w:val="FFFFFF" w:themeColor="background1"/>
                                <w:sz w:val="28"/>
                                <w:szCs w:val="36"/>
                              </w:rPr>
                              <w:t>FOR COMMERCIAL PLANS ONLY</w:t>
                            </w:r>
                            <w:r w:rsidR="00736D14">
                              <w:rPr>
                                <w:rFonts w:ascii="Times New Roman" w:hAnsi="Times New Roman" w:cs="Times New Roman"/>
                                <w:color w:val="FFFFFF" w:themeColor="background1"/>
                                <w:sz w:val="28"/>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045C1" id="_x0000_t202" coordsize="21600,21600" o:spt="202" path="m,l,21600r21600,l21600,xe">
                <v:stroke joinstyle="miter"/>
                <v:path gradientshapeok="t" o:connecttype="rect"/>
              </v:shapetype>
              <v:shape id="Text Box 2" o:spid="_x0000_s1026" type="#_x0000_t202" style="position:absolute;margin-left:-12pt;margin-top:-19.5pt;width:584pt;height: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" filled="f" stroked="f" strokeweight="1pt">
                <v:textbox>
                  <w:txbxContent>
                    <w:p w14:paraId="60734AA8" w14:textId="438368ED" w:rsidR="00482F58" w:rsidRPr="0003421B" w:rsidRDefault="00482F58" w:rsidP="00482F58">
                      <w:pPr>
                        <w:snapToGrid w:val="0"/>
                        <w:spacing w:after="0" w:line="240" w:lineRule="auto"/>
                        <w:rPr>
                          <w:rFonts w:ascii="Times New Roman" w:hAnsi="Times New Roman" w:cs="Times New Roman"/>
                          <w:color w:val="FFFFFF" w:themeColor="background1"/>
                          <w:sz w:val="28"/>
                          <w:szCs w:val="36"/>
                        </w:rPr>
                      </w:pPr>
                      <w:r w:rsidRPr="004D17AF">
                        <w:rPr>
                          <w:rFonts w:ascii="Times New Roman" w:hAnsi="Times New Roman" w:cs="Times New Roman"/>
                          <w:b/>
                          <w:bCs/>
                          <w:color w:val="FFFFFF" w:themeColor="background1"/>
                          <w:sz w:val="32"/>
                          <w:szCs w:val="44"/>
                        </w:rPr>
                        <w:t>Employer/Producer FAQs</w:t>
                      </w:r>
                      <w:r w:rsidR="004D17AF" w:rsidRPr="004D17AF">
                        <w:rPr>
                          <w:rFonts w:ascii="Times New Roman" w:hAnsi="Times New Roman" w:cs="Times New Roman"/>
                          <w:b/>
                          <w:bCs/>
                          <w:color w:val="FFFFFF" w:themeColor="background1"/>
                          <w:sz w:val="36"/>
                          <w:szCs w:val="48"/>
                        </w:rPr>
                        <w:t xml:space="preserve">: </w:t>
                      </w:r>
                      <w:r w:rsidR="00D406AD" w:rsidRPr="004D17AF">
                        <w:rPr>
                          <w:rFonts w:ascii="Times New Roman" w:hAnsi="Times New Roman" w:cs="Times New Roman"/>
                          <w:b/>
                          <w:bCs/>
                          <w:color w:val="FFFFFF" w:themeColor="background1"/>
                          <w:sz w:val="32"/>
                          <w:szCs w:val="44"/>
                        </w:rPr>
                        <w:t xml:space="preserve">Consolidated Appropriations Act </w:t>
                      </w:r>
                      <w:r w:rsidR="004D17AF" w:rsidRPr="004D17AF">
                        <w:rPr>
                          <w:rFonts w:ascii="Times New Roman" w:hAnsi="Times New Roman" w:cs="Times New Roman"/>
                          <w:b/>
                          <w:bCs/>
                          <w:color w:val="FFFFFF" w:themeColor="background1"/>
                          <w:sz w:val="32"/>
                          <w:szCs w:val="44"/>
                        </w:rPr>
                        <w:t xml:space="preserve">(CAA) </w:t>
                      </w:r>
                      <w:r w:rsidR="00C44734" w:rsidRPr="004D17AF">
                        <w:rPr>
                          <w:rFonts w:ascii="Times New Roman" w:hAnsi="Times New Roman" w:cs="Times New Roman"/>
                          <w:b/>
                          <w:bCs/>
                          <w:color w:val="FFFFFF" w:themeColor="background1"/>
                          <w:sz w:val="32"/>
                          <w:szCs w:val="44"/>
                        </w:rPr>
                        <w:t>Section 204</w:t>
                      </w:r>
                      <w:r w:rsidRPr="004D17AF">
                        <w:rPr>
                          <w:rFonts w:ascii="Times New Roman" w:hAnsi="Times New Roman" w:cs="Times New Roman"/>
                          <w:color w:val="FFFFFF" w:themeColor="background1"/>
                          <w:sz w:val="32"/>
                          <w:szCs w:val="44"/>
                        </w:rPr>
                        <w:t xml:space="preserve"> </w:t>
                      </w:r>
                      <w:r w:rsidRPr="00C131E7">
                        <w:rPr>
                          <w:rFonts w:ascii="Times New Roman" w:hAnsi="Times New Roman" w:cs="Times New Roman"/>
                          <w:b/>
                          <w:bCs/>
                          <w:color w:val="FFFFFF" w:themeColor="background1"/>
                          <w:sz w:val="36"/>
                          <w:szCs w:val="48"/>
                        </w:rPr>
                        <w:br/>
                      </w:r>
                      <w:r w:rsidR="0009094D" w:rsidRPr="004D17AF">
                        <w:rPr>
                          <w:rFonts w:ascii="Times New Roman" w:hAnsi="Times New Roman" w:cs="Times New Roman"/>
                          <w:color w:val="FFFFFF" w:themeColor="background1"/>
                          <w:sz w:val="28"/>
                          <w:szCs w:val="36"/>
                        </w:rPr>
                        <w:t>FOR COMMERCIAL PLANS ONLY</w:t>
                      </w:r>
                      <w:r w:rsidR="00736D14">
                        <w:rPr>
                          <w:rFonts w:ascii="Times New Roman" w:hAnsi="Times New Roman" w:cs="Times New Roman"/>
                          <w:color w:val="FFFFFF" w:themeColor="background1"/>
                          <w:sz w:val="28"/>
                          <w:szCs w:val="36"/>
                        </w:rPr>
                        <w:br/>
                      </w:r>
                    </w:p>
                  </w:txbxContent>
                </v:textbox>
                <w10:wrap anchorx="margin"/>
              </v:shape>
            </w:pict>
          </mc:Fallback>
        </mc:AlternateContent>
      </w:r>
    </w:p>
    <w:p w14:paraId="00798C2C" w14:textId="420DF0A2" w:rsidR="00482F58" w:rsidRDefault="00322836" w:rsidP="00841712">
      <w:pPr>
        <w:rPr>
          <w:rFonts w:ascii="Times New Roman" w:eastAsia="Calibri" w:hAnsi="Times New Roman" w:cs="Times New Roman"/>
          <w:b/>
          <w:bCs/>
          <w:sz w:val="24"/>
          <w:szCs w:val="24"/>
        </w:rPr>
      </w:pPr>
      <w:r w:rsidRPr="0093684E">
        <w:rPr>
          <w:noProof/>
          <w:color w:val="000000" w:themeColor="text1"/>
        </w:rPr>
        <mc:AlternateContent>
          <mc:Choice Requires="wps">
            <w:drawing>
              <wp:anchor distT="45720" distB="45720" distL="114300" distR="114300" simplePos="0" relativeHeight="251665408" behindDoc="0" locked="0" layoutInCell="1" allowOverlap="1" wp14:anchorId="260179FE" wp14:editId="23F4EED0">
                <wp:simplePos x="0" y="0"/>
                <wp:positionH relativeFrom="margin">
                  <wp:align>center</wp:align>
                </wp:positionH>
                <wp:positionV relativeFrom="paragraph">
                  <wp:posOffset>248920</wp:posOffset>
                </wp:positionV>
                <wp:extent cx="7143750" cy="501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0165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44AD7F01" w14:textId="68F3C494" w:rsidR="00C35D8A" w:rsidRPr="00322836" w:rsidRDefault="0094461B" w:rsidP="00C35D8A">
                            <w:pPr>
                              <w:snapToGrid w:val="0"/>
                              <w:spacing w:after="0" w:line="240" w:lineRule="auto"/>
                              <w:rPr>
                                <w:rFonts w:ascii="Times New Roman" w:hAnsi="Times New Roman" w:cs="Times New Roman"/>
                                <w:b/>
                                <w:bCs/>
                                <w:sz w:val="19"/>
                                <w:szCs w:val="19"/>
                              </w:rPr>
                            </w:pPr>
                            <w:r w:rsidRPr="00322836">
                              <w:rPr>
                                <w:rFonts w:ascii="Times New Roman" w:hAnsi="Times New Roman" w:cs="Times New Roman"/>
                                <w:b/>
                                <w:bCs/>
                                <w:sz w:val="19"/>
                                <w:szCs w:val="19"/>
                              </w:rPr>
                              <w:t xml:space="preserve">Section 204 of the Consolidated Appropriations Act (CAA) of 2021 and </w:t>
                            </w:r>
                            <w:r w:rsidR="00972ED7" w:rsidRPr="00322836">
                              <w:rPr>
                                <w:rFonts w:ascii="Times New Roman" w:hAnsi="Times New Roman" w:cs="Times New Roman"/>
                                <w:b/>
                                <w:bCs/>
                                <w:sz w:val="19"/>
                                <w:szCs w:val="19"/>
                              </w:rPr>
                              <w:t xml:space="preserve">its </w:t>
                            </w:r>
                            <w:r w:rsidRPr="00322836">
                              <w:rPr>
                                <w:rFonts w:ascii="Times New Roman" w:hAnsi="Times New Roman" w:cs="Times New Roman"/>
                                <w:b/>
                                <w:bCs/>
                                <w:sz w:val="19"/>
                                <w:szCs w:val="19"/>
                              </w:rPr>
                              <w:t xml:space="preserve">implementing regulations require </w:t>
                            </w:r>
                            <w:r w:rsidR="00972ED7" w:rsidRPr="00322836">
                              <w:rPr>
                                <w:rFonts w:ascii="Times New Roman" w:hAnsi="Times New Roman" w:cs="Times New Roman"/>
                                <w:b/>
                                <w:bCs/>
                                <w:sz w:val="19"/>
                                <w:szCs w:val="19"/>
                              </w:rPr>
                              <w:t xml:space="preserve">health insurance issuers and group health plans </w:t>
                            </w:r>
                            <w:r w:rsidRPr="00322836">
                              <w:rPr>
                                <w:rFonts w:ascii="Times New Roman" w:hAnsi="Times New Roman" w:cs="Times New Roman"/>
                                <w:b/>
                                <w:bCs/>
                                <w:sz w:val="19"/>
                                <w:szCs w:val="19"/>
                              </w:rPr>
                              <w:t xml:space="preserve">to report certain information </w:t>
                            </w:r>
                            <w:r w:rsidR="00972ED7" w:rsidRPr="00322836">
                              <w:rPr>
                                <w:rFonts w:ascii="Times New Roman" w:hAnsi="Times New Roman" w:cs="Times New Roman"/>
                                <w:b/>
                                <w:bCs/>
                                <w:sz w:val="19"/>
                                <w:szCs w:val="19"/>
                              </w:rPr>
                              <w:t xml:space="preserve">related to the cost of prescription drugs and health care spending </w:t>
                            </w:r>
                            <w:r w:rsidRPr="00322836">
                              <w:rPr>
                                <w:rFonts w:ascii="Times New Roman" w:hAnsi="Times New Roman" w:cs="Times New Roman"/>
                                <w:b/>
                                <w:bCs/>
                                <w:sz w:val="19"/>
                                <w:szCs w:val="19"/>
                              </w:rPr>
                              <w:t>to the Secretaries of the United States Departments of Labor and Health and Human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179FE" id="_x0000_s1027" type="#_x0000_t202" style="position:absolute;margin-left:0;margin-top:19.6pt;width:562.5pt;height:39.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" filled="f" stroked="f" strokeweight="1pt">
                <v:textbox>
                  <w:txbxContent>
                    <w:p w14:paraId="44AD7F01" w14:textId="68F3C494" w:rsidR="00C35D8A" w:rsidRPr="00322836" w:rsidRDefault="0094461B" w:rsidP="00C35D8A">
                      <w:pPr>
                        <w:snapToGrid w:val="0"/>
                        <w:spacing w:after="0" w:line="240" w:lineRule="auto"/>
                        <w:rPr>
                          <w:rFonts w:ascii="Times New Roman" w:hAnsi="Times New Roman" w:cs="Times New Roman"/>
                          <w:b/>
                          <w:bCs/>
                          <w:sz w:val="19"/>
                          <w:szCs w:val="19"/>
                        </w:rPr>
                      </w:pPr>
                      <w:r w:rsidRPr="00322836">
                        <w:rPr>
                          <w:rFonts w:ascii="Times New Roman" w:hAnsi="Times New Roman" w:cs="Times New Roman"/>
                          <w:b/>
                          <w:bCs/>
                          <w:sz w:val="19"/>
                          <w:szCs w:val="19"/>
                        </w:rPr>
                        <w:t xml:space="preserve">Section 204 of the Consolidated Appropriations Act (CAA) of 2021 and </w:t>
                      </w:r>
                      <w:r w:rsidR="00972ED7" w:rsidRPr="00322836">
                        <w:rPr>
                          <w:rFonts w:ascii="Times New Roman" w:hAnsi="Times New Roman" w:cs="Times New Roman"/>
                          <w:b/>
                          <w:bCs/>
                          <w:sz w:val="19"/>
                          <w:szCs w:val="19"/>
                        </w:rPr>
                        <w:t xml:space="preserve">its </w:t>
                      </w:r>
                      <w:r w:rsidRPr="00322836">
                        <w:rPr>
                          <w:rFonts w:ascii="Times New Roman" w:hAnsi="Times New Roman" w:cs="Times New Roman"/>
                          <w:b/>
                          <w:bCs/>
                          <w:sz w:val="19"/>
                          <w:szCs w:val="19"/>
                        </w:rPr>
                        <w:t xml:space="preserve">implementing regulations require </w:t>
                      </w:r>
                      <w:r w:rsidR="00972ED7" w:rsidRPr="00322836">
                        <w:rPr>
                          <w:rFonts w:ascii="Times New Roman" w:hAnsi="Times New Roman" w:cs="Times New Roman"/>
                          <w:b/>
                          <w:bCs/>
                          <w:sz w:val="19"/>
                          <w:szCs w:val="19"/>
                        </w:rPr>
                        <w:t xml:space="preserve">health insurance issuers and group health plans </w:t>
                      </w:r>
                      <w:r w:rsidRPr="00322836">
                        <w:rPr>
                          <w:rFonts w:ascii="Times New Roman" w:hAnsi="Times New Roman" w:cs="Times New Roman"/>
                          <w:b/>
                          <w:bCs/>
                          <w:sz w:val="19"/>
                          <w:szCs w:val="19"/>
                        </w:rPr>
                        <w:t xml:space="preserve">to report certain information </w:t>
                      </w:r>
                      <w:r w:rsidR="00972ED7" w:rsidRPr="00322836">
                        <w:rPr>
                          <w:rFonts w:ascii="Times New Roman" w:hAnsi="Times New Roman" w:cs="Times New Roman"/>
                          <w:b/>
                          <w:bCs/>
                          <w:sz w:val="19"/>
                          <w:szCs w:val="19"/>
                        </w:rPr>
                        <w:t xml:space="preserve">related to the cost of prescription drugs and health care spending </w:t>
                      </w:r>
                      <w:r w:rsidRPr="00322836">
                        <w:rPr>
                          <w:rFonts w:ascii="Times New Roman" w:hAnsi="Times New Roman" w:cs="Times New Roman"/>
                          <w:b/>
                          <w:bCs/>
                          <w:sz w:val="19"/>
                          <w:szCs w:val="19"/>
                        </w:rPr>
                        <w:t>to the Secretaries of the United States Departments of Labor and Health and Human Services.</w:t>
                      </w:r>
                    </w:p>
                  </w:txbxContent>
                </v:textbox>
                <w10:wrap anchorx="margin"/>
              </v:shape>
            </w:pict>
          </mc:Fallback>
        </mc:AlternateContent>
      </w:r>
      <w:r w:rsidR="004D17AF" w:rsidRPr="001E355D">
        <w:rPr>
          <w:b/>
          <w:bCs/>
          <w:noProof/>
          <w:color w:val="000000" w:themeColor="text1"/>
        </w:rPr>
        <mc:AlternateContent>
          <mc:Choice Requires="wps">
            <w:drawing>
              <wp:anchor distT="0" distB="0" distL="114300" distR="114300" simplePos="0" relativeHeight="251663360" behindDoc="0" locked="0" layoutInCell="1" allowOverlap="1" wp14:anchorId="62E40F5E" wp14:editId="50D67C3F">
                <wp:simplePos x="0" y="0"/>
                <wp:positionH relativeFrom="page">
                  <wp:align>right</wp:align>
                </wp:positionH>
                <wp:positionV relativeFrom="paragraph">
                  <wp:posOffset>90170</wp:posOffset>
                </wp:positionV>
                <wp:extent cx="7753350" cy="152400"/>
                <wp:effectExtent l="0" t="0" r="0" b="0"/>
                <wp:wrapNone/>
                <wp:docPr id="215" name="Rectangle 215"/>
                <wp:cNvGraphicFramePr/>
                <a:graphic xmlns:a="http://schemas.openxmlformats.org/drawingml/2006/main">
                  <a:graphicData uri="http://schemas.microsoft.com/office/word/2010/wordprocessingShape">
                    <wps:wsp>
                      <wps:cNvSpPr/>
                      <wps:spPr>
                        <a:xfrm>
                          <a:off x="0" y="0"/>
                          <a:ext cx="7753350" cy="152400"/>
                        </a:xfrm>
                        <a:prstGeom prst="rect">
                          <a:avLst/>
                        </a:prstGeom>
                        <a:solidFill>
                          <a:srgbClr val="445469">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DF0A4" id="Rectangle 215" o:spid="_x0000_s1026" style="position:absolute;margin-left:559.3pt;margin-top:7.1pt;width:610.5pt;height:12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" fillcolor="#445469" stroked="f" strokeweight="1pt">
                <v:fill opacity="6682f"/>
                <w10:wrap anchorx="page"/>
              </v:rect>
            </w:pict>
          </mc:Fallback>
        </mc:AlternateContent>
      </w:r>
    </w:p>
    <w:bookmarkEnd w:id="0"/>
    <w:p w14:paraId="4BA79459" w14:textId="796F68A1" w:rsidR="00841712" w:rsidRDefault="008C6832">
      <w:pPr>
        <w:rPr>
          <w:rFonts w:ascii="Times New Roman" w:hAnsi="Times New Roman" w:cs="Times New Roman"/>
          <w:b/>
          <w:bCs/>
        </w:rPr>
      </w:pPr>
      <w:r w:rsidRPr="00CA447A">
        <w:rPr>
          <w:rFonts w:ascii="Times New Roman" w:hAnsi="Times New Roman" w:cs="Times New Roman"/>
          <w:b/>
          <w:bCs/>
        </w:rPr>
        <w:t> </w:t>
      </w:r>
    </w:p>
    <w:p w14:paraId="508467B3" w14:textId="3E4702BB" w:rsidR="00C35D8A" w:rsidRDefault="00C35D8A">
      <w:pPr>
        <w:rPr>
          <w:rFonts w:ascii="Times New Roman" w:hAnsi="Times New Roman" w:cs="Times New Roman"/>
          <w:b/>
          <w:bCs/>
        </w:rPr>
      </w:pPr>
    </w:p>
    <w:tbl>
      <w:tblPr>
        <w:tblStyle w:val="TableGrid"/>
        <w:tblW w:w="11610" w:type="dxa"/>
        <w:tblInd w:w="-275" w:type="dxa"/>
        <w:tblLook w:val="04A0" w:firstRow="1" w:lastRow="0" w:firstColumn="1" w:lastColumn="0" w:noHBand="0" w:noVBand="1"/>
      </w:tblPr>
      <w:tblGrid>
        <w:gridCol w:w="3960"/>
        <w:gridCol w:w="7650"/>
      </w:tblGrid>
      <w:tr w:rsidR="00482F58" w:rsidRPr="00240425" w14:paraId="7D8F6F78" w14:textId="77777777" w:rsidTr="00C05D66">
        <w:trPr>
          <w:trHeight w:val="310"/>
        </w:trPr>
        <w:tc>
          <w:tcPr>
            <w:tcW w:w="3960" w:type="dxa"/>
            <w:shd w:val="clear" w:color="auto" w:fill="808080" w:themeFill="background1" w:themeFillShade="80"/>
            <w:hideMark/>
          </w:tcPr>
          <w:p w14:paraId="4DC37464" w14:textId="42497E6C" w:rsidR="00482F58" w:rsidRPr="00322836" w:rsidRDefault="00482F58" w:rsidP="005564C4">
            <w:pPr>
              <w:rPr>
                <w:rFonts w:ascii="Times New Roman" w:eastAsia="Times New Roman" w:hAnsi="Times New Roman" w:cs="Times New Roman"/>
                <w:b/>
                <w:bCs/>
                <w:color w:val="FFFFFF" w:themeColor="background1"/>
                <w:sz w:val="20"/>
                <w:szCs w:val="20"/>
              </w:rPr>
            </w:pPr>
            <w:r w:rsidRPr="00322836">
              <w:rPr>
                <w:rFonts w:ascii="Times New Roman" w:eastAsia="Times New Roman" w:hAnsi="Times New Roman" w:cs="Times New Roman"/>
                <w:b/>
                <w:bCs/>
                <w:color w:val="FFFFFF" w:themeColor="background1"/>
                <w:sz w:val="20"/>
                <w:szCs w:val="20"/>
              </w:rPr>
              <w:t>Questions</w:t>
            </w:r>
          </w:p>
        </w:tc>
        <w:tc>
          <w:tcPr>
            <w:tcW w:w="7650" w:type="dxa"/>
            <w:shd w:val="clear" w:color="auto" w:fill="808080" w:themeFill="background1" w:themeFillShade="80"/>
            <w:hideMark/>
          </w:tcPr>
          <w:p w14:paraId="5E54FD8A" w14:textId="7D477F32" w:rsidR="00482F58" w:rsidRPr="00322836" w:rsidRDefault="00482F58" w:rsidP="005564C4">
            <w:pPr>
              <w:rPr>
                <w:rFonts w:ascii="Times New Roman" w:eastAsia="Times New Roman" w:hAnsi="Times New Roman" w:cs="Times New Roman"/>
                <w:b/>
                <w:bCs/>
                <w:color w:val="FFFFFF" w:themeColor="background1"/>
                <w:sz w:val="20"/>
                <w:szCs w:val="20"/>
              </w:rPr>
            </w:pPr>
            <w:r w:rsidRPr="00322836">
              <w:rPr>
                <w:rFonts w:ascii="Times New Roman" w:eastAsia="Times New Roman" w:hAnsi="Times New Roman" w:cs="Times New Roman"/>
                <w:b/>
                <w:bCs/>
                <w:color w:val="FFFFFF" w:themeColor="background1"/>
                <w:sz w:val="20"/>
                <w:szCs w:val="20"/>
              </w:rPr>
              <w:t>Answers</w:t>
            </w:r>
          </w:p>
        </w:tc>
      </w:tr>
      <w:tr w:rsidR="005D18C5" w:rsidRPr="00E16121" w14:paraId="245C25FD" w14:textId="77777777" w:rsidTr="00C05D66">
        <w:trPr>
          <w:trHeight w:val="1450"/>
        </w:trPr>
        <w:tc>
          <w:tcPr>
            <w:tcW w:w="3960" w:type="dxa"/>
            <w:hideMark/>
          </w:tcPr>
          <w:p w14:paraId="0F93EB76" w14:textId="3ADAF98D" w:rsidR="005D18C5" w:rsidRPr="00322836" w:rsidRDefault="00C44734" w:rsidP="00C05D66">
            <w:pPr>
              <w:pStyle w:val="ListParagraph"/>
              <w:numPr>
                <w:ilvl w:val="0"/>
                <w:numId w:val="4"/>
              </w:numPr>
              <w:ind w:left="288" w:hanging="288"/>
              <w:rPr>
                <w:rFonts w:ascii="Times New Roman" w:eastAsia="Times New Roman" w:hAnsi="Times New Roman" w:cs="Times New Roman"/>
                <w:b/>
                <w:bCs/>
                <w:color w:val="000000"/>
                <w:sz w:val="19"/>
                <w:szCs w:val="19"/>
              </w:rPr>
            </w:pPr>
            <w:r w:rsidRPr="00322836">
              <w:rPr>
                <w:rFonts w:ascii="Times New Roman" w:eastAsia="Times New Roman" w:hAnsi="Times New Roman" w:cs="Times New Roman"/>
                <w:b/>
                <w:bCs/>
                <w:color w:val="000000"/>
                <w:sz w:val="19"/>
                <w:szCs w:val="19"/>
              </w:rPr>
              <w:t xml:space="preserve">What is Section 204 of the </w:t>
            </w:r>
            <w:r w:rsidR="00322836" w:rsidRPr="00322836">
              <w:rPr>
                <w:rFonts w:ascii="Times New Roman" w:eastAsia="Times New Roman" w:hAnsi="Times New Roman" w:cs="Times New Roman"/>
                <w:b/>
                <w:bCs/>
                <w:color w:val="000000"/>
                <w:sz w:val="19"/>
                <w:szCs w:val="19"/>
              </w:rPr>
              <w:t>CAA</w:t>
            </w:r>
            <w:r w:rsidR="001511A4" w:rsidRPr="00322836">
              <w:rPr>
                <w:rFonts w:ascii="Times New Roman" w:eastAsia="Times New Roman" w:hAnsi="Times New Roman" w:cs="Times New Roman"/>
                <w:b/>
                <w:bCs/>
                <w:color w:val="000000"/>
                <w:sz w:val="19"/>
                <w:szCs w:val="19"/>
              </w:rPr>
              <w:t>?</w:t>
            </w:r>
          </w:p>
        </w:tc>
        <w:tc>
          <w:tcPr>
            <w:tcW w:w="7650" w:type="dxa"/>
          </w:tcPr>
          <w:p w14:paraId="7E1C725C" w14:textId="7C91BCD8" w:rsidR="005D18C5" w:rsidRPr="00322836" w:rsidRDefault="00C44734" w:rsidP="003C71BA">
            <w:pPr>
              <w:rPr>
                <w:rFonts w:ascii="Times New Roman" w:eastAsia="Times New Roman" w:hAnsi="Times New Roman" w:cs="Times New Roman"/>
                <w:color w:val="000000"/>
                <w:sz w:val="19"/>
                <w:szCs w:val="19"/>
              </w:rPr>
            </w:pPr>
            <w:r w:rsidRPr="00322836">
              <w:rPr>
                <w:rFonts w:ascii="Times New Roman" w:hAnsi="Times New Roman" w:cs="Times New Roman"/>
                <w:color w:val="000000"/>
                <w:sz w:val="19"/>
                <w:szCs w:val="19"/>
              </w:rPr>
              <w:t xml:space="preserve">Under Section 204 of the </w:t>
            </w:r>
            <w:r w:rsidR="00322836" w:rsidRPr="00322836">
              <w:rPr>
                <w:rFonts w:ascii="Times New Roman" w:hAnsi="Times New Roman" w:cs="Times New Roman"/>
                <w:color w:val="000000"/>
                <w:sz w:val="19"/>
                <w:szCs w:val="19"/>
              </w:rPr>
              <w:t>CAA,</w:t>
            </w:r>
            <w:r w:rsidRPr="00322836">
              <w:rPr>
                <w:rFonts w:ascii="Times New Roman" w:hAnsi="Times New Roman" w:cs="Times New Roman"/>
                <w:color w:val="000000"/>
                <w:sz w:val="19"/>
                <w:szCs w:val="19"/>
              </w:rPr>
              <w:t xml:space="preserve"> insurance companies and </w:t>
            </w:r>
            <w:r w:rsidR="00972ED7" w:rsidRPr="00322836">
              <w:rPr>
                <w:rFonts w:ascii="Times New Roman" w:hAnsi="Times New Roman" w:cs="Times New Roman"/>
                <w:color w:val="000000"/>
                <w:sz w:val="19"/>
                <w:szCs w:val="19"/>
              </w:rPr>
              <w:t>group</w:t>
            </w:r>
            <w:r w:rsidRPr="00322836">
              <w:rPr>
                <w:rFonts w:ascii="Times New Roman" w:hAnsi="Times New Roman" w:cs="Times New Roman"/>
                <w:color w:val="000000"/>
                <w:sz w:val="19"/>
                <w:szCs w:val="19"/>
              </w:rPr>
              <w:t xml:space="preserve"> health plans must submit information about prescription drugs and health care spending. This data submission is called the </w:t>
            </w:r>
            <w:proofErr w:type="spellStart"/>
            <w:r w:rsidRPr="00322836">
              <w:rPr>
                <w:rFonts w:ascii="Times New Roman" w:hAnsi="Times New Roman" w:cs="Times New Roman"/>
                <w:color w:val="000000"/>
                <w:sz w:val="19"/>
                <w:szCs w:val="19"/>
              </w:rPr>
              <w:t>RxDC</w:t>
            </w:r>
            <w:proofErr w:type="spellEnd"/>
            <w:r w:rsidRPr="00322836">
              <w:rPr>
                <w:rFonts w:ascii="Times New Roman" w:hAnsi="Times New Roman" w:cs="Times New Roman"/>
                <w:color w:val="000000"/>
                <w:sz w:val="19"/>
                <w:szCs w:val="19"/>
              </w:rPr>
              <w:t xml:space="preserve"> report. The Rx stands for prescription drug and the DC stands for data collection.</w:t>
            </w:r>
            <w:r w:rsidR="00C51F64" w:rsidRPr="00322836">
              <w:rPr>
                <w:rFonts w:ascii="Times New Roman" w:hAnsi="Times New Roman" w:cs="Times New Roman"/>
                <w:color w:val="000000"/>
                <w:sz w:val="19"/>
                <w:szCs w:val="19"/>
              </w:rPr>
              <w:br/>
            </w:r>
            <w:r w:rsidR="00C51F64" w:rsidRPr="00322836">
              <w:rPr>
                <w:rFonts w:ascii="Times New Roman" w:hAnsi="Times New Roman" w:cs="Times New Roman"/>
                <w:color w:val="000000"/>
                <w:sz w:val="19"/>
                <w:szCs w:val="19"/>
              </w:rPr>
              <w:br/>
              <w:t xml:space="preserve">More information is available </w:t>
            </w:r>
            <w:hyperlink r:id="rId8" w:history="1">
              <w:r w:rsidR="00C51F64" w:rsidRPr="00322836">
                <w:rPr>
                  <w:rStyle w:val="Hyperlink"/>
                  <w:rFonts w:ascii="Times New Roman" w:hAnsi="Times New Roman" w:cs="Times New Roman"/>
                  <w:sz w:val="19"/>
                  <w:szCs w:val="19"/>
                </w:rPr>
                <w:t>here</w:t>
              </w:r>
            </w:hyperlink>
            <w:r w:rsidR="00C51F64" w:rsidRPr="00322836">
              <w:rPr>
                <w:rFonts w:ascii="Times New Roman" w:hAnsi="Times New Roman" w:cs="Times New Roman"/>
                <w:color w:val="000000"/>
                <w:sz w:val="19"/>
                <w:szCs w:val="19"/>
              </w:rPr>
              <w:t xml:space="preserve">. </w:t>
            </w:r>
            <w:r w:rsidR="00C51F64" w:rsidRPr="00322836">
              <w:rPr>
                <w:rFonts w:ascii="Times New Roman" w:hAnsi="Times New Roman" w:cs="Times New Roman"/>
                <w:color w:val="000000"/>
                <w:sz w:val="19"/>
                <w:szCs w:val="19"/>
              </w:rPr>
              <w:br/>
            </w:r>
          </w:p>
        </w:tc>
      </w:tr>
      <w:tr w:rsidR="002C443C" w14:paraId="63614068" w14:textId="77777777" w:rsidTr="00C05D66">
        <w:tc>
          <w:tcPr>
            <w:tcW w:w="3960" w:type="dxa"/>
            <w:shd w:val="clear" w:color="auto" w:fill="auto"/>
          </w:tcPr>
          <w:p w14:paraId="1FED953F" w14:textId="0939C922" w:rsidR="002C443C" w:rsidRPr="00322836" w:rsidRDefault="002C443C" w:rsidP="002C443C">
            <w:pPr>
              <w:pStyle w:val="ListParagraph"/>
              <w:numPr>
                <w:ilvl w:val="0"/>
                <w:numId w:val="4"/>
              </w:numPr>
              <w:rPr>
                <w:rFonts w:ascii="Times New Roman" w:eastAsia="Times New Roman" w:hAnsi="Times New Roman" w:cs="Times New Roman"/>
                <w:b/>
                <w:bCs/>
                <w:color w:val="000000"/>
                <w:sz w:val="19"/>
                <w:szCs w:val="19"/>
              </w:rPr>
            </w:pPr>
            <w:r w:rsidRPr="00322836">
              <w:rPr>
                <w:rFonts w:ascii="Times New Roman" w:eastAsia="Times New Roman" w:hAnsi="Times New Roman" w:cs="Times New Roman"/>
                <w:b/>
                <w:bCs/>
                <w:color w:val="000000"/>
                <w:sz w:val="19"/>
                <w:szCs w:val="19"/>
              </w:rPr>
              <w:t xml:space="preserve">Does UPMC have a statement available for any group questions related to submissions under Section 204 of the </w:t>
            </w:r>
            <w:r w:rsidR="00322836" w:rsidRPr="00322836">
              <w:rPr>
                <w:rFonts w:ascii="Times New Roman" w:eastAsia="Times New Roman" w:hAnsi="Times New Roman" w:cs="Times New Roman"/>
                <w:b/>
                <w:bCs/>
                <w:color w:val="000000"/>
                <w:sz w:val="19"/>
                <w:szCs w:val="19"/>
              </w:rPr>
              <w:t>CAA?</w:t>
            </w:r>
          </w:p>
        </w:tc>
        <w:tc>
          <w:tcPr>
            <w:tcW w:w="7650" w:type="dxa"/>
            <w:shd w:val="clear" w:color="auto" w:fill="auto"/>
          </w:tcPr>
          <w:p w14:paraId="1F8FA0BD" w14:textId="258FD2D6" w:rsidR="002C443C" w:rsidRPr="00322836" w:rsidRDefault="002C443C" w:rsidP="002C443C">
            <w:pPr>
              <w:rPr>
                <w:rFonts w:ascii="Times New Roman" w:hAnsi="Times New Roman" w:cs="Times New Roman"/>
                <w:i/>
                <w:iCs/>
                <w:sz w:val="19"/>
                <w:szCs w:val="19"/>
              </w:rPr>
            </w:pPr>
            <w:r w:rsidRPr="00322836">
              <w:rPr>
                <w:rFonts w:ascii="Times New Roman" w:hAnsi="Times New Roman" w:cs="Times New Roman"/>
                <w:sz w:val="19"/>
                <w:szCs w:val="19"/>
              </w:rPr>
              <w:t>Yes, UPMC has the following statement available:</w:t>
            </w:r>
            <w:r w:rsidRPr="00322836">
              <w:rPr>
                <w:rFonts w:ascii="Times New Roman" w:hAnsi="Times New Roman" w:cs="Times New Roman"/>
                <w:i/>
                <w:iCs/>
                <w:sz w:val="19"/>
                <w:szCs w:val="19"/>
              </w:rPr>
              <w:t xml:space="preserve"> </w:t>
            </w:r>
            <w:r w:rsidRPr="00322836">
              <w:rPr>
                <w:rFonts w:ascii="Times New Roman" w:hAnsi="Times New Roman" w:cs="Times New Roman"/>
                <w:i/>
                <w:iCs/>
                <w:sz w:val="19"/>
                <w:szCs w:val="19"/>
              </w:rPr>
              <w:br/>
            </w:r>
            <w:r w:rsidRPr="00322836">
              <w:rPr>
                <w:rFonts w:ascii="Times New Roman" w:hAnsi="Times New Roman" w:cs="Times New Roman"/>
                <w:i/>
                <w:iCs/>
                <w:sz w:val="19"/>
                <w:szCs w:val="19"/>
              </w:rPr>
              <w:br/>
              <w:t xml:space="preserve">Beginning not later than December 27, 2022, UPMC Health Plan will report to the Secretaries of the United States Departments of Labor and Health and Human Services information required under Section 204 of the Consolidated Appropriations Act, 2021 and its implementing regulations to the extent UPMC Health Plan has such information as a result of the services it provides to its fully insured and self-funded employer group clients.  This information will include required medical spend detail and information related to prescription drug costs to the extent UPMC Health Plan provides or administers such coverage for an employer group client.  </w:t>
            </w:r>
            <w:proofErr w:type="gramStart"/>
            <w:r w:rsidRPr="00322836">
              <w:rPr>
                <w:rFonts w:ascii="Times New Roman" w:hAnsi="Times New Roman" w:cs="Times New Roman"/>
                <w:i/>
                <w:iCs/>
                <w:sz w:val="19"/>
                <w:szCs w:val="19"/>
              </w:rPr>
              <w:t>With the exception of</w:t>
            </w:r>
            <w:proofErr w:type="gramEnd"/>
            <w:r w:rsidRPr="00322836">
              <w:rPr>
                <w:rFonts w:ascii="Times New Roman" w:hAnsi="Times New Roman" w:cs="Times New Roman"/>
                <w:i/>
                <w:iCs/>
                <w:sz w:val="19"/>
                <w:szCs w:val="19"/>
              </w:rPr>
              <w:t xml:space="preserve"> premium amounts paid by members (see below) the Health Plan will not be collecting or reporting on information not currently in its possession or that is handled by another third-party vendor, insurer, or pharmacy benefit manager for an employer group. </w:t>
            </w:r>
          </w:p>
          <w:p w14:paraId="64163B30" w14:textId="77777777" w:rsidR="002C443C" w:rsidRPr="00322836" w:rsidRDefault="002C443C" w:rsidP="002C443C">
            <w:pPr>
              <w:rPr>
                <w:rFonts w:ascii="Times New Roman" w:hAnsi="Times New Roman" w:cs="Times New Roman"/>
                <w:i/>
                <w:iCs/>
                <w:sz w:val="19"/>
                <w:szCs w:val="19"/>
              </w:rPr>
            </w:pPr>
          </w:p>
          <w:p w14:paraId="43E99A0C" w14:textId="77777777" w:rsidR="002C443C" w:rsidRPr="00322836" w:rsidRDefault="002C443C" w:rsidP="002C443C">
            <w:pPr>
              <w:rPr>
                <w:rFonts w:ascii="Times New Roman" w:hAnsi="Times New Roman" w:cs="Times New Roman"/>
                <w:i/>
                <w:iCs/>
                <w:sz w:val="19"/>
                <w:szCs w:val="19"/>
              </w:rPr>
            </w:pPr>
          </w:p>
          <w:p w14:paraId="7883625B" w14:textId="4A045B43" w:rsidR="002C443C" w:rsidRPr="00322836" w:rsidRDefault="002C443C" w:rsidP="002C443C">
            <w:pPr>
              <w:rPr>
                <w:rFonts w:ascii="Times New Roman" w:hAnsi="Times New Roman" w:cs="Times New Roman"/>
                <w:sz w:val="19"/>
                <w:szCs w:val="19"/>
              </w:rPr>
            </w:pPr>
            <w:r w:rsidRPr="00322836">
              <w:rPr>
                <w:rFonts w:ascii="Times New Roman" w:hAnsi="Times New Roman" w:cs="Times New Roman"/>
                <w:i/>
                <w:iCs/>
                <w:sz w:val="19"/>
                <w:szCs w:val="19"/>
              </w:rPr>
              <w:t>UPMC Health Plan will conduct the reporting, as set forth above, automatically on behalf of our clients.  At this time, for the submission due on December 27, 2022, UPMC Health Plan does not anticipate needing any information from our clients but may request information from a group if necessary.  We do anticipate that subsequent submissions will require groups to affirmatively provide information to UPMC Health Plan (for example, the portion of premium amounts paid by employer v. member).  Additional details about how and when that information must be provided to UPMC Health Plan will be forthcoming.</w:t>
            </w:r>
            <w:r w:rsidRPr="00322836">
              <w:rPr>
                <w:rFonts w:ascii="Times New Roman" w:hAnsi="Times New Roman" w:cs="Times New Roman"/>
                <w:sz w:val="19"/>
                <w:szCs w:val="19"/>
              </w:rPr>
              <w:br/>
            </w:r>
          </w:p>
        </w:tc>
      </w:tr>
      <w:tr w:rsidR="008C6832" w14:paraId="728AE3AE" w14:textId="77777777" w:rsidTr="00C05D66">
        <w:tc>
          <w:tcPr>
            <w:tcW w:w="3960" w:type="dxa"/>
            <w:shd w:val="clear" w:color="auto" w:fill="auto"/>
          </w:tcPr>
          <w:p w14:paraId="6A74B33A" w14:textId="514D79AF" w:rsidR="008C6832" w:rsidRPr="00322836" w:rsidRDefault="001511A4" w:rsidP="00C05D66">
            <w:pPr>
              <w:pStyle w:val="ListParagraph"/>
              <w:numPr>
                <w:ilvl w:val="0"/>
                <w:numId w:val="4"/>
              </w:numPr>
              <w:ind w:left="288" w:hanging="288"/>
              <w:rPr>
                <w:rFonts w:ascii="Times New Roman" w:eastAsia="Times New Roman" w:hAnsi="Times New Roman" w:cs="Times New Roman"/>
                <w:b/>
                <w:bCs/>
                <w:color w:val="000000"/>
                <w:sz w:val="19"/>
                <w:szCs w:val="19"/>
              </w:rPr>
            </w:pPr>
            <w:r w:rsidRPr="00322836">
              <w:rPr>
                <w:rFonts w:ascii="Times New Roman" w:eastAsia="Times New Roman" w:hAnsi="Times New Roman" w:cs="Times New Roman"/>
                <w:b/>
                <w:bCs/>
                <w:color w:val="000000"/>
                <w:sz w:val="19"/>
                <w:szCs w:val="19"/>
              </w:rPr>
              <w:t xml:space="preserve">What information </w:t>
            </w:r>
            <w:r w:rsidR="000F4F07" w:rsidRPr="00322836">
              <w:rPr>
                <w:rFonts w:ascii="Times New Roman" w:eastAsia="Times New Roman" w:hAnsi="Times New Roman" w:cs="Times New Roman"/>
                <w:b/>
                <w:bCs/>
                <w:color w:val="000000"/>
                <w:sz w:val="19"/>
                <w:szCs w:val="19"/>
              </w:rPr>
              <w:t xml:space="preserve">must </w:t>
            </w:r>
            <w:r w:rsidRPr="00322836">
              <w:rPr>
                <w:rFonts w:ascii="Times New Roman" w:eastAsia="Times New Roman" w:hAnsi="Times New Roman" w:cs="Times New Roman"/>
                <w:b/>
                <w:bCs/>
                <w:color w:val="000000"/>
                <w:sz w:val="19"/>
                <w:szCs w:val="19"/>
              </w:rPr>
              <w:t>insurance companies and employers</w:t>
            </w:r>
            <w:r w:rsidR="00972ED7" w:rsidRPr="00322836">
              <w:rPr>
                <w:rFonts w:ascii="Times New Roman" w:eastAsia="Times New Roman" w:hAnsi="Times New Roman" w:cs="Times New Roman"/>
                <w:b/>
                <w:bCs/>
                <w:color w:val="000000"/>
                <w:sz w:val="19"/>
                <w:szCs w:val="19"/>
              </w:rPr>
              <w:t xml:space="preserve"> </w:t>
            </w:r>
            <w:r w:rsidRPr="00322836">
              <w:rPr>
                <w:rFonts w:ascii="Times New Roman" w:eastAsia="Times New Roman" w:hAnsi="Times New Roman" w:cs="Times New Roman"/>
                <w:b/>
                <w:bCs/>
                <w:color w:val="000000"/>
                <w:sz w:val="19"/>
                <w:szCs w:val="19"/>
              </w:rPr>
              <w:t>submit?</w:t>
            </w:r>
          </w:p>
        </w:tc>
        <w:tc>
          <w:tcPr>
            <w:tcW w:w="7650" w:type="dxa"/>
            <w:shd w:val="clear" w:color="auto" w:fill="auto"/>
          </w:tcPr>
          <w:p w14:paraId="2D3E0675" w14:textId="24422257" w:rsidR="001511A4" w:rsidRPr="00322836" w:rsidRDefault="001511A4" w:rsidP="001511A4">
            <w:pPr>
              <w:rPr>
                <w:rFonts w:ascii="Times New Roman" w:hAnsi="Times New Roman" w:cs="Times New Roman"/>
                <w:sz w:val="19"/>
                <w:szCs w:val="19"/>
              </w:rPr>
            </w:pPr>
            <w:r w:rsidRPr="00322836">
              <w:rPr>
                <w:rFonts w:ascii="Times New Roman" w:hAnsi="Times New Roman" w:cs="Times New Roman"/>
                <w:sz w:val="19"/>
                <w:szCs w:val="19"/>
              </w:rPr>
              <w:t xml:space="preserve">The CAA requires insurance companies and </w:t>
            </w:r>
            <w:r w:rsidR="00972ED7" w:rsidRPr="00322836">
              <w:rPr>
                <w:rFonts w:ascii="Times New Roman" w:hAnsi="Times New Roman" w:cs="Times New Roman"/>
                <w:sz w:val="19"/>
                <w:szCs w:val="19"/>
              </w:rPr>
              <w:t>group</w:t>
            </w:r>
            <w:r w:rsidRPr="00322836">
              <w:rPr>
                <w:rFonts w:ascii="Times New Roman" w:hAnsi="Times New Roman" w:cs="Times New Roman"/>
                <w:sz w:val="19"/>
                <w:szCs w:val="19"/>
              </w:rPr>
              <w:t xml:space="preserve"> health plans to submit information about:</w:t>
            </w:r>
          </w:p>
          <w:p w14:paraId="3F8A8D45" w14:textId="77777777" w:rsidR="001511A4" w:rsidRPr="00322836" w:rsidRDefault="001511A4" w:rsidP="001511A4">
            <w:pPr>
              <w:pStyle w:val="ListParagraph"/>
              <w:numPr>
                <w:ilvl w:val="0"/>
                <w:numId w:val="5"/>
              </w:numPr>
              <w:rPr>
                <w:rFonts w:ascii="Times New Roman" w:hAnsi="Times New Roman" w:cs="Times New Roman"/>
                <w:sz w:val="19"/>
                <w:szCs w:val="19"/>
              </w:rPr>
            </w:pPr>
            <w:r w:rsidRPr="00322836">
              <w:rPr>
                <w:rFonts w:ascii="Times New Roman" w:hAnsi="Times New Roman" w:cs="Times New Roman"/>
                <w:sz w:val="19"/>
                <w:szCs w:val="19"/>
              </w:rPr>
              <w:t>Spending on prescription drugs and health care services</w:t>
            </w:r>
          </w:p>
          <w:p w14:paraId="415A76F1" w14:textId="77777777" w:rsidR="001511A4" w:rsidRPr="00322836" w:rsidRDefault="001511A4" w:rsidP="001511A4">
            <w:pPr>
              <w:pStyle w:val="ListParagraph"/>
              <w:numPr>
                <w:ilvl w:val="0"/>
                <w:numId w:val="5"/>
              </w:numPr>
              <w:rPr>
                <w:rFonts w:ascii="Times New Roman" w:hAnsi="Times New Roman" w:cs="Times New Roman"/>
                <w:sz w:val="19"/>
                <w:szCs w:val="19"/>
              </w:rPr>
            </w:pPr>
            <w:r w:rsidRPr="00322836">
              <w:rPr>
                <w:rFonts w:ascii="Times New Roman" w:hAnsi="Times New Roman" w:cs="Times New Roman"/>
                <w:sz w:val="19"/>
                <w:szCs w:val="19"/>
              </w:rPr>
              <w:t>Prescription drugs that account for the most spending</w:t>
            </w:r>
          </w:p>
          <w:p w14:paraId="4691E473" w14:textId="77777777" w:rsidR="001511A4" w:rsidRPr="00322836" w:rsidRDefault="001511A4" w:rsidP="001511A4">
            <w:pPr>
              <w:pStyle w:val="ListParagraph"/>
              <w:numPr>
                <w:ilvl w:val="0"/>
                <w:numId w:val="5"/>
              </w:numPr>
              <w:rPr>
                <w:rFonts w:ascii="Times New Roman" w:hAnsi="Times New Roman" w:cs="Times New Roman"/>
                <w:sz w:val="19"/>
                <w:szCs w:val="19"/>
              </w:rPr>
            </w:pPr>
            <w:r w:rsidRPr="00322836">
              <w:rPr>
                <w:rFonts w:ascii="Times New Roman" w:hAnsi="Times New Roman" w:cs="Times New Roman"/>
                <w:sz w:val="19"/>
                <w:szCs w:val="19"/>
              </w:rPr>
              <w:t>Drugs that are prescribed most frequently</w:t>
            </w:r>
          </w:p>
          <w:p w14:paraId="65F5F501" w14:textId="77777777" w:rsidR="001511A4" w:rsidRPr="00322836" w:rsidRDefault="001511A4" w:rsidP="001511A4">
            <w:pPr>
              <w:pStyle w:val="ListParagraph"/>
              <w:numPr>
                <w:ilvl w:val="0"/>
                <w:numId w:val="5"/>
              </w:numPr>
              <w:rPr>
                <w:rFonts w:ascii="Times New Roman" w:hAnsi="Times New Roman" w:cs="Times New Roman"/>
                <w:sz w:val="19"/>
                <w:szCs w:val="19"/>
              </w:rPr>
            </w:pPr>
            <w:r w:rsidRPr="00322836">
              <w:rPr>
                <w:rFonts w:ascii="Times New Roman" w:hAnsi="Times New Roman" w:cs="Times New Roman"/>
                <w:sz w:val="19"/>
                <w:szCs w:val="19"/>
              </w:rPr>
              <w:t>Prescription drug rebates from drug manufacturers</w:t>
            </w:r>
          </w:p>
          <w:p w14:paraId="1A0CA7B7" w14:textId="0A7D2327" w:rsidR="008C6832" w:rsidRPr="00322836" w:rsidRDefault="001511A4" w:rsidP="001511A4">
            <w:pPr>
              <w:pStyle w:val="ListParagraph"/>
              <w:numPr>
                <w:ilvl w:val="0"/>
                <w:numId w:val="5"/>
              </w:numPr>
              <w:rPr>
                <w:rFonts w:ascii="Times New Roman" w:hAnsi="Times New Roman" w:cs="Times New Roman"/>
                <w:sz w:val="19"/>
                <w:szCs w:val="19"/>
              </w:rPr>
            </w:pPr>
            <w:r w:rsidRPr="00322836">
              <w:rPr>
                <w:rFonts w:ascii="Times New Roman" w:hAnsi="Times New Roman" w:cs="Times New Roman"/>
                <w:sz w:val="19"/>
                <w:szCs w:val="19"/>
              </w:rPr>
              <w:t xml:space="preserve">Premiums and cost-sharing </w:t>
            </w:r>
            <w:r w:rsidR="00646621">
              <w:rPr>
                <w:rFonts w:ascii="Times New Roman" w:hAnsi="Times New Roman" w:cs="Times New Roman"/>
                <w:sz w:val="19"/>
                <w:szCs w:val="19"/>
              </w:rPr>
              <w:t>paid by members</w:t>
            </w:r>
            <w:r w:rsidRPr="00322836">
              <w:rPr>
                <w:rFonts w:ascii="Times New Roman" w:hAnsi="Times New Roman" w:cs="Times New Roman"/>
                <w:sz w:val="19"/>
                <w:szCs w:val="19"/>
              </w:rPr>
              <w:br/>
            </w:r>
          </w:p>
        </w:tc>
      </w:tr>
      <w:tr w:rsidR="006C127A" w14:paraId="2444AF39" w14:textId="77777777" w:rsidTr="00C05D66">
        <w:tc>
          <w:tcPr>
            <w:tcW w:w="3960" w:type="dxa"/>
            <w:shd w:val="clear" w:color="auto" w:fill="auto"/>
          </w:tcPr>
          <w:p w14:paraId="16519597" w14:textId="664E9625" w:rsidR="006C127A" w:rsidRPr="00322836" w:rsidRDefault="00C30395" w:rsidP="00C05D66">
            <w:pPr>
              <w:pStyle w:val="ListParagraph"/>
              <w:numPr>
                <w:ilvl w:val="0"/>
                <w:numId w:val="4"/>
              </w:numPr>
              <w:ind w:left="288" w:hanging="288"/>
              <w:rPr>
                <w:rFonts w:ascii="Times New Roman" w:eastAsia="Times New Roman" w:hAnsi="Times New Roman" w:cs="Times New Roman"/>
                <w:b/>
                <w:bCs/>
                <w:color w:val="000000"/>
                <w:sz w:val="19"/>
                <w:szCs w:val="19"/>
              </w:rPr>
            </w:pPr>
            <w:r w:rsidRPr="00322836">
              <w:rPr>
                <w:rFonts w:ascii="Times New Roman" w:eastAsia="Times New Roman" w:hAnsi="Times New Roman" w:cs="Times New Roman"/>
                <w:b/>
                <w:bCs/>
                <w:color w:val="000000"/>
                <w:sz w:val="19"/>
                <w:szCs w:val="19"/>
              </w:rPr>
              <w:t>B</w:t>
            </w:r>
            <w:r w:rsidR="006C127A" w:rsidRPr="00322836">
              <w:rPr>
                <w:rFonts w:ascii="Times New Roman" w:eastAsia="Times New Roman" w:hAnsi="Times New Roman" w:cs="Times New Roman"/>
                <w:b/>
                <w:bCs/>
                <w:color w:val="000000"/>
                <w:sz w:val="19"/>
                <w:szCs w:val="19"/>
              </w:rPr>
              <w:t>oth insurers and group health plans are required to submit information under Section 204</w:t>
            </w:r>
            <w:r w:rsidRPr="00322836">
              <w:rPr>
                <w:rFonts w:ascii="Times New Roman" w:eastAsia="Times New Roman" w:hAnsi="Times New Roman" w:cs="Times New Roman"/>
                <w:b/>
                <w:bCs/>
                <w:color w:val="000000"/>
                <w:sz w:val="19"/>
                <w:szCs w:val="19"/>
              </w:rPr>
              <w:t xml:space="preserve"> of the </w:t>
            </w:r>
            <w:r w:rsidR="00322836" w:rsidRPr="00322836">
              <w:rPr>
                <w:rFonts w:ascii="Times New Roman" w:eastAsia="Times New Roman" w:hAnsi="Times New Roman" w:cs="Times New Roman"/>
                <w:b/>
                <w:bCs/>
                <w:color w:val="000000"/>
                <w:sz w:val="19"/>
                <w:szCs w:val="19"/>
              </w:rPr>
              <w:t>CAA</w:t>
            </w:r>
            <w:r w:rsidRPr="00322836">
              <w:rPr>
                <w:rFonts w:ascii="Times New Roman" w:eastAsia="Times New Roman" w:hAnsi="Times New Roman" w:cs="Times New Roman"/>
                <w:b/>
                <w:bCs/>
                <w:color w:val="000000"/>
                <w:sz w:val="19"/>
                <w:szCs w:val="19"/>
              </w:rPr>
              <w:t>. W</w:t>
            </w:r>
            <w:r w:rsidR="006C127A" w:rsidRPr="00322836">
              <w:rPr>
                <w:rFonts w:ascii="Times New Roman" w:eastAsia="Times New Roman" w:hAnsi="Times New Roman" w:cs="Times New Roman"/>
                <w:b/>
                <w:bCs/>
                <w:color w:val="000000"/>
                <w:sz w:val="19"/>
                <w:szCs w:val="19"/>
              </w:rPr>
              <w:t xml:space="preserve">hat information, if any, </w:t>
            </w:r>
            <w:r w:rsidRPr="00322836">
              <w:rPr>
                <w:rFonts w:ascii="Times New Roman" w:eastAsia="Times New Roman" w:hAnsi="Times New Roman" w:cs="Times New Roman"/>
                <w:b/>
                <w:bCs/>
                <w:color w:val="000000"/>
                <w:sz w:val="19"/>
                <w:szCs w:val="19"/>
              </w:rPr>
              <w:t xml:space="preserve">will </w:t>
            </w:r>
            <w:r w:rsidR="006C127A" w:rsidRPr="00322836">
              <w:rPr>
                <w:rFonts w:ascii="Times New Roman" w:eastAsia="Times New Roman" w:hAnsi="Times New Roman" w:cs="Times New Roman"/>
                <w:b/>
                <w:bCs/>
                <w:color w:val="000000"/>
                <w:sz w:val="19"/>
                <w:szCs w:val="19"/>
              </w:rPr>
              <w:t>UPMC Health Plan submit on behalf of its clients</w:t>
            </w:r>
            <w:r w:rsidRPr="00322836">
              <w:rPr>
                <w:rFonts w:ascii="Times New Roman" w:eastAsia="Times New Roman" w:hAnsi="Times New Roman" w:cs="Times New Roman"/>
                <w:b/>
                <w:bCs/>
                <w:color w:val="000000"/>
                <w:sz w:val="19"/>
                <w:szCs w:val="19"/>
              </w:rPr>
              <w:t>?</w:t>
            </w:r>
          </w:p>
        </w:tc>
        <w:tc>
          <w:tcPr>
            <w:tcW w:w="7650" w:type="dxa"/>
            <w:shd w:val="clear" w:color="auto" w:fill="auto"/>
          </w:tcPr>
          <w:p w14:paraId="52E48810" w14:textId="0CC50CCD" w:rsidR="006C127A" w:rsidRPr="00322836" w:rsidRDefault="006C127A">
            <w:pPr>
              <w:rPr>
                <w:rFonts w:ascii="Times New Roman" w:hAnsi="Times New Roman" w:cs="Times New Roman"/>
                <w:sz w:val="19"/>
                <w:szCs w:val="19"/>
              </w:rPr>
            </w:pPr>
            <w:r w:rsidRPr="00322836">
              <w:rPr>
                <w:rFonts w:ascii="Times New Roman" w:hAnsi="Times New Roman" w:cs="Times New Roman"/>
                <w:sz w:val="19"/>
                <w:szCs w:val="19"/>
              </w:rPr>
              <w:t>UPMC Health Plan will provide the required medical spend detail and information related to prescription drug costs to the extent UPMC Health Plan provides or administers such medical and/or prescription drug coverage on behalf of an employer group client. UPMC Health Plan will not be collecting or reporting on information that is not currently in its possession or that is handled by a third-party vendor, insurer, or pharmacy benefit manager for a group.</w:t>
            </w:r>
            <w:r w:rsidRPr="00322836">
              <w:rPr>
                <w:rFonts w:ascii="Times New Roman" w:hAnsi="Times New Roman" w:cs="Times New Roman"/>
                <w:sz w:val="19"/>
                <w:szCs w:val="19"/>
              </w:rPr>
              <w:br/>
            </w:r>
          </w:p>
        </w:tc>
      </w:tr>
      <w:tr w:rsidR="005D18C5" w14:paraId="31D72C4D" w14:textId="77777777" w:rsidTr="00C05D66">
        <w:tc>
          <w:tcPr>
            <w:tcW w:w="3960" w:type="dxa"/>
            <w:shd w:val="clear" w:color="auto" w:fill="auto"/>
          </w:tcPr>
          <w:p w14:paraId="3ABA0E2A" w14:textId="433B1D8B" w:rsidR="005D18C5" w:rsidRPr="00322836" w:rsidRDefault="00EB60A2" w:rsidP="00C05D66">
            <w:pPr>
              <w:pStyle w:val="ListParagraph"/>
              <w:numPr>
                <w:ilvl w:val="0"/>
                <w:numId w:val="4"/>
              </w:numPr>
              <w:ind w:left="288" w:hanging="288"/>
              <w:rPr>
                <w:rFonts w:ascii="Times New Roman" w:eastAsia="Times New Roman" w:hAnsi="Times New Roman" w:cs="Times New Roman"/>
                <w:b/>
                <w:bCs/>
                <w:color w:val="000000"/>
                <w:sz w:val="19"/>
                <w:szCs w:val="19"/>
              </w:rPr>
            </w:pPr>
            <w:r w:rsidRPr="00322836">
              <w:rPr>
                <w:rFonts w:ascii="Times New Roman" w:eastAsia="Times New Roman" w:hAnsi="Times New Roman" w:cs="Times New Roman"/>
                <w:b/>
                <w:bCs/>
                <w:color w:val="000000"/>
                <w:sz w:val="19"/>
                <w:szCs w:val="19"/>
              </w:rPr>
              <w:t xml:space="preserve">Will UPMC Health Plan </w:t>
            </w:r>
            <w:r w:rsidR="00912A2A" w:rsidRPr="00322836">
              <w:rPr>
                <w:rFonts w:ascii="Times New Roman" w:eastAsia="Times New Roman" w:hAnsi="Times New Roman" w:cs="Times New Roman"/>
                <w:b/>
                <w:bCs/>
                <w:color w:val="000000"/>
                <w:sz w:val="19"/>
                <w:szCs w:val="19"/>
              </w:rPr>
              <w:t>be</w:t>
            </w:r>
            <w:r w:rsidRPr="00322836">
              <w:rPr>
                <w:rFonts w:ascii="Times New Roman" w:eastAsia="Times New Roman" w:hAnsi="Times New Roman" w:cs="Times New Roman"/>
                <w:b/>
                <w:bCs/>
                <w:color w:val="000000"/>
                <w:sz w:val="19"/>
                <w:szCs w:val="19"/>
              </w:rPr>
              <w:t xml:space="preserve"> reaching out to current clients for information needed for the December 27, </w:t>
            </w:r>
            <w:proofErr w:type="gramStart"/>
            <w:r w:rsidRPr="00322836">
              <w:rPr>
                <w:rFonts w:ascii="Times New Roman" w:eastAsia="Times New Roman" w:hAnsi="Times New Roman" w:cs="Times New Roman"/>
                <w:b/>
                <w:bCs/>
                <w:color w:val="000000"/>
                <w:sz w:val="19"/>
                <w:szCs w:val="19"/>
              </w:rPr>
              <w:t>2022</w:t>
            </w:r>
            <w:proofErr w:type="gramEnd"/>
            <w:r w:rsidRPr="00322836">
              <w:rPr>
                <w:rFonts w:ascii="Times New Roman" w:eastAsia="Times New Roman" w:hAnsi="Times New Roman" w:cs="Times New Roman"/>
                <w:b/>
                <w:bCs/>
                <w:color w:val="000000"/>
                <w:sz w:val="19"/>
                <w:szCs w:val="19"/>
              </w:rPr>
              <w:t xml:space="preserve"> submission</w:t>
            </w:r>
            <w:r w:rsidR="00C05D66" w:rsidRPr="00322836">
              <w:rPr>
                <w:rFonts w:ascii="Times New Roman" w:eastAsia="Times New Roman" w:hAnsi="Times New Roman" w:cs="Times New Roman"/>
                <w:b/>
                <w:bCs/>
                <w:color w:val="000000"/>
                <w:sz w:val="19"/>
                <w:szCs w:val="19"/>
              </w:rPr>
              <w:t xml:space="preserve"> to satisfy the requirements of </w:t>
            </w:r>
            <w:r w:rsidR="00322836" w:rsidRPr="00322836">
              <w:rPr>
                <w:rFonts w:ascii="Times New Roman" w:eastAsia="Times New Roman" w:hAnsi="Times New Roman" w:cs="Times New Roman"/>
                <w:b/>
                <w:bCs/>
                <w:color w:val="000000"/>
                <w:sz w:val="19"/>
                <w:szCs w:val="19"/>
              </w:rPr>
              <w:t xml:space="preserve">Section 204 of </w:t>
            </w:r>
            <w:r w:rsidR="00C05D66" w:rsidRPr="00322836">
              <w:rPr>
                <w:rFonts w:ascii="Times New Roman" w:eastAsia="Times New Roman" w:hAnsi="Times New Roman" w:cs="Times New Roman"/>
                <w:b/>
                <w:bCs/>
                <w:color w:val="000000"/>
                <w:sz w:val="19"/>
                <w:szCs w:val="19"/>
              </w:rPr>
              <w:t>the CAA</w:t>
            </w:r>
            <w:r w:rsidRPr="00322836">
              <w:rPr>
                <w:rFonts w:ascii="Times New Roman" w:eastAsia="Times New Roman" w:hAnsi="Times New Roman" w:cs="Times New Roman"/>
                <w:b/>
                <w:bCs/>
                <w:color w:val="000000"/>
                <w:sz w:val="19"/>
                <w:szCs w:val="19"/>
              </w:rPr>
              <w:t>?</w:t>
            </w:r>
            <w:r w:rsidR="00736D14" w:rsidRPr="00322836">
              <w:rPr>
                <w:rFonts w:ascii="Times New Roman" w:eastAsia="Times New Roman" w:hAnsi="Times New Roman" w:cs="Times New Roman"/>
                <w:b/>
                <w:bCs/>
                <w:color w:val="000000"/>
                <w:sz w:val="19"/>
                <w:szCs w:val="19"/>
              </w:rPr>
              <w:br/>
            </w:r>
          </w:p>
        </w:tc>
        <w:tc>
          <w:tcPr>
            <w:tcW w:w="7650" w:type="dxa"/>
            <w:shd w:val="clear" w:color="auto" w:fill="auto"/>
          </w:tcPr>
          <w:p w14:paraId="0EBE33D5" w14:textId="567D54C2" w:rsidR="005D18C5" w:rsidRPr="00322836" w:rsidRDefault="00EB60A2">
            <w:pPr>
              <w:rPr>
                <w:rFonts w:ascii="Times New Roman" w:hAnsi="Times New Roman" w:cs="Times New Roman"/>
                <w:sz w:val="19"/>
                <w:szCs w:val="19"/>
              </w:rPr>
            </w:pPr>
            <w:r w:rsidRPr="00322836">
              <w:rPr>
                <w:rFonts w:ascii="Times New Roman" w:hAnsi="Times New Roman" w:cs="Times New Roman"/>
                <w:sz w:val="19"/>
                <w:szCs w:val="19"/>
              </w:rPr>
              <w:t>At this time, for the submission due on December 27, 2022, UPMC Health Plan does not anticipate needing any information from our clients but may request information from a group if necessary.</w:t>
            </w:r>
          </w:p>
        </w:tc>
      </w:tr>
      <w:tr w:rsidR="003911B4" w14:paraId="5ED6895A" w14:textId="77777777" w:rsidTr="00C05D66">
        <w:tc>
          <w:tcPr>
            <w:tcW w:w="3960" w:type="dxa"/>
            <w:shd w:val="clear" w:color="auto" w:fill="auto"/>
          </w:tcPr>
          <w:p w14:paraId="703F5284" w14:textId="22650852" w:rsidR="003911B4" w:rsidRPr="00322836" w:rsidRDefault="00EB60A2" w:rsidP="00C05D66">
            <w:pPr>
              <w:pStyle w:val="ListParagraph"/>
              <w:numPr>
                <w:ilvl w:val="0"/>
                <w:numId w:val="4"/>
              </w:numPr>
              <w:ind w:left="288" w:hanging="288"/>
              <w:rPr>
                <w:rFonts w:ascii="Times New Roman" w:eastAsia="Times New Roman" w:hAnsi="Times New Roman" w:cs="Times New Roman"/>
                <w:b/>
                <w:bCs/>
                <w:color w:val="000000"/>
                <w:sz w:val="19"/>
                <w:szCs w:val="19"/>
              </w:rPr>
            </w:pPr>
            <w:r w:rsidRPr="00322836">
              <w:rPr>
                <w:rFonts w:ascii="Times New Roman" w:eastAsia="Times New Roman" w:hAnsi="Times New Roman" w:cs="Times New Roman"/>
                <w:b/>
                <w:bCs/>
                <w:color w:val="000000"/>
                <w:sz w:val="19"/>
                <w:szCs w:val="19"/>
              </w:rPr>
              <w:t>Will UPMC Health Plan be reaching out to current clients for information needed for the June 2023 submission</w:t>
            </w:r>
            <w:r w:rsidR="00C05D66" w:rsidRPr="00322836">
              <w:rPr>
                <w:rFonts w:ascii="Times New Roman" w:eastAsia="Times New Roman" w:hAnsi="Times New Roman" w:cs="Times New Roman"/>
                <w:b/>
                <w:bCs/>
                <w:color w:val="000000"/>
                <w:sz w:val="19"/>
                <w:szCs w:val="19"/>
              </w:rPr>
              <w:t xml:space="preserve"> to satisfy the requirements of the CAA</w:t>
            </w:r>
            <w:r w:rsidRPr="00322836">
              <w:rPr>
                <w:rFonts w:ascii="Times New Roman" w:eastAsia="Times New Roman" w:hAnsi="Times New Roman" w:cs="Times New Roman"/>
                <w:b/>
                <w:bCs/>
                <w:color w:val="000000"/>
                <w:sz w:val="19"/>
                <w:szCs w:val="19"/>
              </w:rPr>
              <w:t>?</w:t>
            </w:r>
          </w:p>
        </w:tc>
        <w:tc>
          <w:tcPr>
            <w:tcW w:w="7650" w:type="dxa"/>
            <w:shd w:val="clear" w:color="auto" w:fill="auto"/>
          </w:tcPr>
          <w:p w14:paraId="7137094A" w14:textId="77777777" w:rsidR="0094758F" w:rsidRDefault="00972ED7" w:rsidP="003911B4">
            <w:pPr>
              <w:rPr>
                <w:rFonts w:ascii="Times New Roman" w:hAnsi="Times New Roman" w:cs="Times New Roman"/>
                <w:sz w:val="19"/>
                <w:szCs w:val="19"/>
              </w:rPr>
            </w:pPr>
            <w:r w:rsidRPr="00322836">
              <w:rPr>
                <w:rFonts w:ascii="Times New Roman" w:hAnsi="Times New Roman" w:cs="Times New Roman"/>
                <w:sz w:val="19"/>
                <w:szCs w:val="19"/>
              </w:rPr>
              <w:t>At this time,</w:t>
            </w:r>
            <w:r w:rsidR="00736D14" w:rsidRPr="00322836">
              <w:rPr>
                <w:rFonts w:ascii="Times New Roman" w:hAnsi="Times New Roman" w:cs="Times New Roman"/>
                <w:sz w:val="19"/>
                <w:szCs w:val="19"/>
              </w:rPr>
              <w:t xml:space="preserve"> we do anticipate that subsequent submissions will require groups to affirmatively provide information to UPMC Health Plan (for example, the portion of premium amounts paid by employer v. member). Additional details about how and when that information must be provided to UPMC Health Plan will be forthcoming.</w:t>
            </w:r>
          </w:p>
          <w:p w14:paraId="484D76E2" w14:textId="72D5053E" w:rsidR="003911B4" w:rsidRPr="00322836" w:rsidRDefault="00322836" w:rsidP="003911B4">
            <w:pPr>
              <w:rPr>
                <w:rFonts w:ascii="Times New Roman" w:hAnsi="Times New Roman" w:cs="Times New Roman"/>
                <w:sz w:val="19"/>
                <w:szCs w:val="19"/>
              </w:rPr>
            </w:pPr>
            <w:r>
              <w:rPr>
                <w:rFonts w:ascii="Times New Roman" w:hAnsi="Times New Roman" w:cs="Times New Roman"/>
                <w:sz w:val="19"/>
                <w:szCs w:val="19"/>
              </w:rPr>
              <w:br/>
            </w:r>
          </w:p>
        </w:tc>
      </w:tr>
      <w:tr w:rsidR="003579A2" w14:paraId="33244B4E" w14:textId="77777777" w:rsidTr="00C05D66">
        <w:tc>
          <w:tcPr>
            <w:tcW w:w="3960" w:type="dxa"/>
            <w:shd w:val="clear" w:color="auto" w:fill="auto"/>
          </w:tcPr>
          <w:p w14:paraId="3279589C" w14:textId="72ED958D" w:rsidR="003579A2" w:rsidRPr="00322836" w:rsidRDefault="002513A3" w:rsidP="00C05D66">
            <w:pPr>
              <w:pStyle w:val="ListParagraph"/>
              <w:numPr>
                <w:ilvl w:val="0"/>
                <w:numId w:val="4"/>
              </w:numPr>
              <w:ind w:left="288" w:hanging="288"/>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lastRenderedPageBreak/>
              <w:t>Will UPMC Health Plan</w:t>
            </w:r>
            <w:r w:rsidR="00E11A4F">
              <w:rPr>
                <w:rFonts w:ascii="Times New Roman" w:eastAsia="Times New Roman" w:hAnsi="Times New Roman" w:cs="Times New Roman"/>
                <w:b/>
                <w:bCs/>
                <w:color w:val="000000"/>
                <w:sz w:val="19"/>
                <w:szCs w:val="19"/>
              </w:rPr>
              <w:t xml:space="preserve"> be</w:t>
            </w:r>
            <w:r>
              <w:rPr>
                <w:rFonts w:ascii="Times New Roman" w:eastAsia="Times New Roman" w:hAnsi="Times New Roman" w:cs="Times New Roman"/>
                <w:b/>
                <w:bCs/>
                <w:color w:val="000000"/>
                <w:sz w:val="19"/>
                <w:szCs w:val="19"/>
              </w:rPr>
              <w:t xml:space="preserve"> submit</w:t>
            </w:r>
            <w:r w:rsidR="00E11A4F">
              <w:rPr>
                <w:rFonts w:ascii="Times New Roman" w:eastAsia="Times New Roman" w:hAnsi="Times New Roman" w:cs="Times New Roman"/>
                <w:b/>
                <w:bCs/>
                <w:color w:val="000000"/>
                <w:sz w:val="19"/>
                <w:szCs w:val="19"/>
              </w:rPr>
              <w:t>ting</w:t>
            </w:r>
            <w:r>
              <w:rPr>
                <w:rFonts w:ascii="Times New Roman" w:eastAsia="Times New Roman" w:hAnsi="Times New Roman" w:cs="Times New Roman"/>
                <w:b/>
                <w:bCs/>
                <w:color w:val="000000"/>
                <w:sz w:val="19"/>
                <w:szCs w:val="19"/>
              </w:rPr>
              <w:t xml:space="preserve"> f</w:t>
            </w:r>
            <w:r w:rsidR="0094758F" w:rsidRPr="0094758F">
              <w:rPr>
                <w:rFonts w:ascii="Times New Roman" w:eastAsia="Times New Roman" w:hAnsi="Times New Roman" w:cs="Times New Roman"/>
                <w:b/>
                <w:bCs/>
                <w:color w:val="000000"/>
                <w:sz w:val="19"/>
                <w:szCs w:val="19"/>
              </w:rPr>
              <w:t>iles D2</w:t>
            </w:r>
            <w:r w:rsidR="00FB0212">
              <w:rPr>
                <w:rFonts w:ascii="Times New Roman" w:eastAsia="Times New Roman" w:hAnsi="Times New Roman" w:cs="Times New Roman"/>
                <w:b/>
                <w:bCs/>
                <w:color w:val="000000"/>
                <w:sz w:val="19"/>
                <w:szCs w:val="19"/>
              </w:rPr>
              <w:t>, D3, D4, D5, D6, D7</w:t>
            </w:r>
            <w:r w:rsidR="00804D53">
              <w:rPr>
                <w:rFonts w:ascii="Times New Roman" w:eastAsia="Times New Roman" w:hAnsi="Times New Roman" w:cs="Times New Roman"/>
                <w:b/>
                <w:bCs/>
                <w:color w:val="000000"/>
                <w:sz w:val="19"/>
                <w:szCs w:val="19"/>
              </w:rPr>
              <w:t xml:space="preserve"> and D8 </w:t>
            </w:r>
            <w:r w:rsidR="000200D6">
              <w:rPr>
                <w:rFonts w:ascii="Times New Roman" w:eastAsia="Times New Roman" w:hAnsi="Times New Roman" w:cs="Times New Roman"/>
                <w:b/>
                <w:bCs/>
                <w:color w:val="000000"/>
                <w:sz w:val="19"/>
                <w:szCs w:val="19"/>
              </w:rPr>
              <w:t xml:space="preserve">for fully insured </w:t>
            </w:r>
            <w:r w:rsidR="003635C5">
              <w:rPr>
                <w:rFonts w:ascii="Times New Roman" w:eastAsia="Times New Roman" w:hAnsi="Times New Roman" w:cs="Times New Roman"/>
                <w:b/>
                <w:bCs/>
                <w:color w:val="000000"/>
                <w:sz w:val="19"/>
                <w:szCs w:val="19"/>
              </w:rPr>
              <w:t xml:space="preserve">and self-funded </w:t>
            </w:r>
            <w:r w:rsidR="00804D53">
              <w:rPr>
                <w:rFonts w:ascii="Times New Roman" w:eastAsia="Times New Roman" w:hAnsi="Times New Roman" w:cs="Times New Roman"/>
                <w:b/>
                <w:bCs/>
                <w:color w:val="000000"/>
                <w:sz w:val="19"/>
                <w:szCs w:val="19"/>
              </w:rPr>
              <w:t>groups</w:t>
            </w:r>
            <w:r w:rsidR="000200D6">
              <w:rPr>
                <w:rFonts w:ascii="Times New Roman" w:eastAsia="Times New Roman" w:hAnsi="Times New Roman" w:cs="Times New Roman"/>
                <w:b/>
                <w:bCs/>
                <w:color w:val="000000"/>
                <w:sz w:val="19"/>
                <w:szCs w:val="19"/>
              </w:rPr>
              <w:t xml:space="preserve"> on the </w:t>
            </w:r>
            <w:r w:rsidR="00804D53">
              <w:rPr>
                <w:rFonts w:ascii="Times New Roman" w:eastAsia="Times New Roman" w:hAnsi="Times New Roman" w:cs="Times New Roman"/>
                <w:b/>
                <w:bCs/>
                <w:color w:val="000000"/>
                <w:sz w:val="19"/>
                <w:szCs w:val="19"/>
              </w:rPr>
              <w:t>group’s</w:t>
            </w:r>
            <w:r w:rsidR="000200D6">
              <w:rPr>
                <w:rFonts w:ascii="Times New Roman" w:eastAsia="Times New Roman" w:hAnsi="Times New Roman" w:cs="Times New Roman"/>
                <w:b/>
                <w:bCs/>
                <w:color w:val="000000"/>
                <w:sz w:val="19"/>
                <w:szCs w:val="19"/>
              </w:rPr>
              <w:t xml:space="preserve"> behalf</w:t>
            </w:r>
            <w:r w:rsidR="0094758F" w:rsidRPr="0094758F">
              <w:rPr>
                <w:rFonts w:ascii="Times New Roman" w:eastAsia="Times New Roman" w:hAnsi="Times New Roman" w:cs="Times New Roman"/>
                <w:b/>
                <w:bCs/>
                <w:color w:val="000000"/>
                <w:sz w:val="19"/>
                <w:szCs w:val="19"/>
              </w:rPr>
              <w:t>?</w:t>
            </w:r>
            <w:r w:rsidR="00C057DC">
              <w:rPr>
                <w:rFonts w:ascii="Times New Roman" w:eastAsia="Times New Roman" w:hAnsi="Times New Roman" w:cs="Times New Roman"/>
                <w:b/>
                <w:bCs/>
                <w:color w:val="000000"/>
                <w:sz w:val="19"/>
                <w:szCs w:val="19"/>
              </w:rPr>
              <w:br/>
            </w:r>
          </w:p>
        </w:tc>
        <w:tc>
          <w:tcPr>
            <w:tcW w:w="7650" w:type="dxa"/>
            <w:shd w:val="clear" w:color="auto" w:fill="auto"/>
          </w:tcPr>
          <w:p w14:paraId="744917D5" w14:textId="6F34E738" w:rsidR="003579A2" w:rsidRPr="00322836" w:rsidRDefault="00D755AC" w:rsidP="003911B4">
            <w:pPr>
              <w:rPr>
                <w:rFonts w:ascii="Times New Roman" w:hAnsi="Times New Roman" w:cs="Times New Roman"/>
                <w:sz w:val="19"/>
                <w:szCs w:val="19"/>
              </w:rPr>
            </w:pPr>
            <w:r w:rsidRPr="00D755AC">
              <w:rPr>
                <w:rFonts w:ascii="Times New Roman" w:hAnsi="Times New Roman" w:cs="Times New Roman"/>
                <w:sz w:val="19"/>
                <w:szCs w:val="19"/>
              </w:rPr>
              <w:t>Yes</w:t>
            </w:r>
            <w:r>
              <w:rPr>
                <w:rFonts w:ascii="Times New Roman" w:hAnsi="Times New Roman" w:cs="Times New Roman"/>
                <w:sz w:val="19"/>
                <w:szCs w:val="19"/>
              </w:rPr>
              <w:t xml:space="preserve">, UPMC Health Plan </w:t>
            </w:r>
            <w:r w:rsidRPr="00D755AC">
              <w:rPr>
                <w:rFonts w:ascii="Times New Roman" w:hAnsi="Times New Roman" w:cs="Times New Roman"/>
                <w:sz w:val="19"/>
                <w:szCs w:val="19"/>
              </w:rPr>
              <w:t xml:space="preserve">will submit on </w:t>
            </w:r>
            <w:r w:rsidR="00C057DC">
              <w:rPr>
                <w:rFonts w:ascii="Times New Roman" w:hAnsi="Times New Roman" w:cs="Times New Roman"/>
                <w:sz w:val="19"/>
                <w:szCs w:val="19"/>
              </w:rPr>
              <w:t xml:space="preserve">fully insured </w:t>
            </w:r>
            <w:r w:rsidR="003635C5">
              <w:rPr>
                <w:rFonts w:ascii="Times New Roman" w:hAnsi="Times New Roman" w:cs="Times New Roman"/>
                <w:sz w:val="19"/>
                <w:szCs w:val="19"/>
              </w:rPr>
              <w:t xml:space="preserve">and self-funded </w:t>
            </w:r>
            <w:r w:rsidR="00C057DC">
              <w:rPr>
                <w:rFonts w:ascii="Times New Roman" w:hAnsi="Times New Roman" w:cs="Times New Roman"/>
                <w:sz w:val="19"/>
                <w:szCs w:val="19"/>
              </w:rPr>
              <w:t>groups</w:t>
            </w:r>
            <w:r w:rsidR="003635C5">
              <w:rPr>
                <w:rFonts w:ascii="Times New Roman" w:hAnsi="Times New Roman" w:cs="Times New Roman"/>
                <w:sz w:val="19"/>
                <w:szCs w:val="19"/>
              </w:rPr>
              <w:t>’</w:t>
            </w:r>
            <w:r w:rsidRPr="00D755AC">
              <w:rPr>
                <w:rFonts w:ascii="Times New Roman" w:hAnsi="Times New Roman" w:cs="Times New Roman"/>
                <w:sz w:val="19"/>
                <w:szCs w:val="19"/>
              </w:rPr>
              <w:t xml:space="preserve"> behalf.</w:t>
            </w:r>
            <w:r w:rsidR="00857E2D">
              <w:rPr>
                <w:rFonts w:ascii="Times New Roman" w:hAnsi="Times New Roman" w:cs="Times New Roman"/>
                <w:sz w:val="19"/>
                <w:szCs w:val="19"/>
              </w:rPr>
              <w:t xml:space="preserve"> The submission</w:t>
            </w:r>
            <w:r w:rsidR="00827606">
              <w:rPr>
                <w:rFonts w:ascii="Times New Roman" w:hAnsi="Times New Roman" w:cs="Times New Roman"/>
                <w:sz w:val="19"/>
                <w:szCs w:val="19"/>
              </w:rPr>
              <w:t xml:space="preserve"> </w:t>
            </w:r>
            <w:r w:rsidR="00857E2D" w:rsidRPr="00857E2D">
              <w:rPr>
                <w:rFonts w:ascii="Times New Roman" w:hAnsi="Times New Roman" w:cs="Times New Roman"/>
                <w:sz w:val="19"/>
                <w:szCs w:val="19"/>
              </w:rPr>
              <w:t xml:space="preserve">will reflect data for any/all </w:t>
            </w:r>
            <w:r w:rsidR="00857E2D">
              <w:rPr>
                <w:rFonts w:ascii="Times New Roman" w:hAnsi="Times New Roman" w:cs="Times New Roman"/>
                <w:sz w:val="19"/>
                <w:szCs w:val="19"/>
              </w:rPr>
              <w:t>groups</w:t>
            </w:r>
            <w:r w:rsidR="00857E2D" w:rsidRPr="00857E2D">
              <w:rPr>
                <w:rFonts w:ascii="Times New Roman" w:hAnsi="Times New Roman" w:cs="Times New Roman"/>
                <w:sz w:val="19"/>
                <w:szCs w:val="19"/>
              </w:rPr>
              <w:t xml:space="preserve"> who were active at any point in the required submission year (regardless of whether </w:t>
            </w:r>
            <w:r w:rsidR="00C057DC">
              <w:rPr>
                <w:rFonts w:ascii="Times New Roman" w:hAnsi="Times New Roman" w:cs="Times New Roman"/>
                <w:sz w:val="19"/>
                <w:szCs w:val="19"/>
              </w:rPr>
              <w:t>the</w:t>
            </w:r>
            <w:r w:rsidR="00857E2D">
              <w:rPr>
                <w:rFonts w:ascii="Times New Roman" w:hAnsi="Times New Roman" w:cs="Times New Roman"/>
                <w:sz w:val="19"/>
                <w:szCs w:val="19"/>
              </w:rPr>
              <w:t xml:space="preserve"> group has since</w:t>
            </w:r>
            <w:r w:rsidR="00857E2D" w:rsidRPr="00857E2D">
              <w:rPr>
                <w:rFonts w:ascii="Times New Roman" w:hAnsi="Times New Roman" w:cs="Times New Roman"/>
                <w:sz w:val="19"/>
                <w:szCs w:val="19"/>
              </w:rPr>
              <w:t xml:space="preserve"> termed</w:t>
            </w:r>
            <w:r w:rsidR="00857E2D">
              <w:rPr>
                <w:rFonts w:ascii="Times New Roman" w:hAnsi="Times New Roman" w:cs="Times New Roman"/>
                <w:sz w:val="19"/>
                <w:szCs w:val="19"/>
              </w:rPr>
              <w:t>)</w:t>
            </w:r>
            <w:r w:rsidR="00857E2D" w:rsidRPr="00857E2D">
              <w:rPr>
                <w:rFonts w:ascii="Times New Roman" w:hAnsi="Times New Roman" w:cs="Times New Roman"/>
                <w:sz w:val="19"/>
                <w:szCs w:val="19"/>
              </w:rPr>
              <w:t>.</w:t>
            </w:r>
          </w:p>
        </w:tc>
      </w:tr>
      <w:tr w:rsidR="00E11A4F" w14:paraId="38341BC5" w14:textId="77777777" w:rsidTr="00C05D66">
        <w:tc>
          <w:tcPr>
            <w:tcW w:w="3960" w:type="dxa"/>
            <w:shd w:val="clear" w:color="auto" w:fill="auto"/>
          </w:tcPr>
          <w:p w14:paraId="5FC441D5" w14:textId="324DEF99" w:rsidR="00E11A4F" w:rsidRDefault="00E11A4F" w:rsidP="00C05D66">
            <w:pPr>
              <w:pStyle w:val="ListParagraph"/>
              <w:numPr>
                <w:ilvl w:val="0"/>
                <w:numId w:val="4"/>
              </w:numPr>
              <w:ind w:left="288" w:hanging="288"/>
              <w:rPr>
                <w:rFonts w:ascii="Times New Roman" w:eastAsia="Times New Roman" w:hAnsi="Times New Roman" w:cs="Times New Roman"/>
                <w:b/>
                <w:bCs/>
                <w:color w:val="000000"/>
                <w:sz w:val="19"/>
                <w:szCs w:val="19"/>
              </w:rPr>
            </w:pPr>
            <w:r w:rsidRPr="00E11A4F">
              <w:rPr>
                <w:rFonts w:ascii="Times New Roman" w:eastAsia="Times New Roman" w:hAnsi="Times New Roman" w:cs="Times New Roman"/>
                <w:b/>
                <w:bCs/>
                <w:color w:val="000000"/>
                <w:sz w:val="19"/>
                <w:szCs w:val="19"/>
              </w:rPr>
              <w:t xml:space="preserve">Will UPMC Health Plan </w:t>
            </w:r>
            <w:r>
              <w:rPr>
                <w:rFonts w:ascii="Times New Roman" w:eastAsia="Times New Roman" w:hAnsi="Times New Roman" w:cs="Times New Roman"/>
                <w:b/>
                <w:bCs/>
                <w:color w:val="000000"/>
                <w:sz w:val="19"/>
                <w:szCs w:val="19"/>
              </w:rPr>
              <w:t xml:space="preserve">be </w:t>
            </w:r>
            <w:r w:rsidRPr="00E11A4F">
              <w:rPr>
                <w:rFonts w:ascii="Times New Roman" w:eastAsia="Times New Roman" w:hAnsi="Times New Roman" w:cs="Times New Roman"/>
                <w:b/>
                <w:bCs/>
                <w:color w:val="000000"/>
                <w:sz w:val="19"/>
                <w:szCs w:val="19"/>
              </w:rPr>
              <w:t>submit</w:t>
            </w:r>
            <w:r>
              <w:rPr>
                <w:rFonts w:ascii="Times New Roman" w:eastAsia="Times New Roman" w:hAnsi="Times New Roman" w:cs="Times New Roman"/>
                <w:b/>
                <w:bCs/>
                <w:color w:val="000000"/>
                <w:sz w:val="19"/>
                <w:szCs w:val="19"/>
              </w:rPr>
              <w:t>ting</w:t>
            </w:r>
            <w:r w:rsidRPr="00E11A4F">
              <w:rPr>
                <w:rFonts w:ascii="Times New Roman" w:eastAsia="Times New Roman" w:hAnsi="Times New Roman" w:cs="Times New Roman"/>
                <w:b/>
                <w:bCs/>
                <w:color w:val="000000"/>
                <w:sz w:val="19"/>
                <w:szCs w:val="19"/>
              </w:rPr>
              <w:t xml:space="preserve"> files </w:t>
            </w:r>
            <w:r w:rsidR="00804D53">
              <w:rPr>
                <w:rFonts w:ascii="Times New Roman" w:eastAsia="Times New Roman" w:hAnsi="Times New Roman" w:cs="Times New Roman"/>
                <w:b/>
                <w:bCs/>
                <w:color w:val="000000"/>
                <w:sz w:val="19"/>
                <w:szCs w:val="19"/>
              </w:rPr>
              <w:t>P1, P2 and P3 for fully insured</w:t>
            </w:r>
            <w:r w:rsidR="003635C5">
              <w:rPr>
                <w:rFonts w:ascii="Times New Roman" w:eastAsia="Times New Roman" w:hAnsi="Times New Roman" w:cs="Times New Roman"/>
                <w:b/>
                <w:bCs/>
                <w:color w:val="000000"/>
                <w:sz w:val="19"/>
                <w:szCs w:val="19"/>
              </w:rPr>
              <w:t xml:space="preserve"> and self-funded</w:t>
            </w:r>
            <w:r w:rsidR="00804D53">
              <w:rPr>
                <w:rFonts w:ascii="Times New Roman" w:eastAsia="Times New Roman" w:hAnsi="Times New Roman" w:cs="Times New Roman"/>
                <w:b/>
                <w:bCs/>
                <w:color w:val="000000"/>
                <w:sz w:val="19"/>
                <w:szCs w:val="19"/>
              </w:rPr>
              <w:t xml:space="preserve"> </w:t>
            </w:r>
            <w:r w:rsidR="003635C5">
              <w:rPr>
                <w:rFonts w:ascii="Times New Roman" w:eastAsia="Times New Roman" w:hAnsi="Times New Roman" w:cs="Times New Roman"/>
                <w:b/>
                <w:bCs/>
                <w:color w:val="000000"/>
                <w:sz w:val="19"/>
                <w:szCs w:val="19"/>
              </w:rPr>
              <w:t>groups</w:t>
            </w:r>
            <w:r w:rsidR="00804D53">
              <w:rPr>
                <w:rFonts w:ascii="Times New Roman" w:eastAsia="Times New Roman" w:hAnsi="Times New Roman" w:cs="Times New Roman"/>
                <w:b/>
                <w:bCs/>
                <w:color w:val="000000"/>
                <w:sz w:val="19"/>
                <w:szCs w:val="19"/>
              </w:rPr>
              <w:t xml:space="preserve"> on the group’s behalf?</w:t>
            </w:r>
          </w:p>
        </w:tc>
        <w:tc>
          <w:tcPr>
            <w:tcW w:w="7650" w:type="dxa"/>
            <w:shd w:val="clear" w:color="auto" w:fill="auto"/>
          </w:tcPr>
          <w:p w14:paraId="071E807E" w14:textId="7B73BB14" w:rsidR="00E11A4F" w:rsidRPr="00D755AC" w:rsidRDefault="003635C5" w:rsidP="003911B4">
            <w:pPr>
              <w:rPr>
                <w:rFonts w:ascii="Times New Roman" w:hAnsi="Times New Roman" w:cs="Times New Roman"/>
                <w:sz w:val="19"/>
                <w:szCs w:val="19"/>
              </w:rPr>
            </w:pPr>
            <w:r w:rsidRPr="003635C5">
              <w:rPr>
                <w:rFonts w:ascii="Times New Roman" w:hAnsi="Times New Roman" w:cs="Times New Roman"/>
                <w:sz w:val="19"/>
                <w:szCs w:val="19"/>
              </w:rPr>
              <w:t xml:space="preserve">Yes, UPMC Health Plan will submit on fully insured and self-funded groups’ behalf. </w:t>
            </w:r>
            <w:r w:rsidR="00857E2D" w:rsidRPr="00857E2D">
              <w:rPr>
                <w:rFonts w:ascii="Times New Roman" w:hAnsi="Times New Roman" w:cs="Times New Roman"/>
                <w:sz w:val="19"/>
                <w:szCs w:val="19"/>
              </w:rPr>
              <w:t xml:space="preserve">The submission will reflect data for any/all groups who were active at any point in the required submission year (regardless of </w:t>
            </w:r>
            <w:r w:rsidR="00C057DC">
              <w:rPr>
                <w:rFonts w:ascii="Times New Roman" w:hAnsi="Times New Roman" w:cs="Times New Roman"/>
                <w:sz w:val="19"/>
                <w:szCs w:val="19"/>
              </w:rPr>
              <w:t>whether</w:t>
            </w:r>
            <w:r w:rsidR="00857E2D" w:rsidRPr="00857E2D">
              <w:rPr>
                <w:rFonts w:ascii="Times New Roman" w:hAnsi="Times New Roman" w:cs="Times New Roman"/>
                <w:sz w:val="19"/>
                <w:szCs w:val="19"/>
              </w:rPr>
              <w:t xml:space="preserve"> the group has since termed).</w:t>
            </w:r>
            <w:r w:rsidR="00857E2D">
              <w:rPr>
                <w:rFonts w:ascii="Times New Roman" w:hAnsi="Times New Roman" w:cs="Times New Roman"/>
                <w:sz w:val="19"/>
                <w:szCs w:val="19"/>
              </w:rPr>
              <w:br/>
            </w:r>
          </w:p>
        </w:tc>
      </w:tr>
    </w:tbl>
    <w:p w14:paraId="632595A8" w14:textId="452DDADD" w:rsidR="00BC50AE" w:rsidRDefault="00BC50AE" w:rsidP="00322836"/>
    <w:sectPr w:rsidR="00BC50AE" w:rsidSect="005D18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A3A8" w14:textId="77777777" w:rsidR="00074EF9" w:rsidRDefault="00074EF9" w:rsidP="004D17AF">
      <w:pPr>
        <w:spacing w:after="0" w:line="240" w:lineRule="auto"/>
      </w:pPr>
      <w:r>
        <w:separator/>
      </w:r>
    </w:p>
  </w:endnote>
  <w:endnote w:type="continuationSeparator" w:id="0">
    <w:p w14:paraId="696F6CDE" w14:textId="77777777" w:rsidR="00074EF9" w:rsidRDefault="00074EF9" w:rsidP="004D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55D6" w14:textId="77777777" w:rsidR="00074EF9" w:rsidRDefault="00074EF9" w:rsidP="004D17AF">
      <w:pPr>
        <w:spacing w:after="0" w:line="240" w:lineRule="auto"/>
      </w:pPr>
      <w:r>
        <w:separator/>
      </w:r>
    </w:p>
  </w:footnote>
  <w:footnote w:type="continuationSeparator" w:id="0">
    <w:p w14:paraId="6BFC6B3D" w14:textId="77777777" w:rsidR="00074EF9" w:rsidRDefault="00074EF9" w:rsidP="004D1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489E"/>
    <w:multiLevelType w:val="hybridMultilevel"/>
    <w:tmpl w:val="343AF0C8"/>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E440A79"/>
    <w:multiLevelType w:val="hybridMultilevel"/>
    <w:tmpl w:val="FA228158"/>
    <w:lvl w:ilvl="0" w:tplc="47389CE8">
      <w:start w:val="1"/>
      <w:numFmt w:val="decimal"/>
      <w:lvlText w:val="%1."/>
      <w:lvlJc w:val="left"/>
      <w:pPr>
        <w:ind w:left="360" w:hanging="360"/>
      </w:pPr>
      <w:rPr>
        <w:rFonts w:ascii="Calibri" w:eastAsia="Times New Roman" w:hAnsi="Calibri" w:cs="Calibri"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7A1DE3"/>
    <w:multiLevelType w:val="hybridMultilevel"/>
    <w:tmpl w:val="849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3D17"/>
    <w:multiLevelType w:val="hybridMultilevel"/>
    <w:tmpl w:val="9278AC2C"/>
    <w:lvl w:ilvl="0" w:tplc="113208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0766F"/>
    <w:multiLevelType w:val="hybridMultilevel"/>
    <w:tmpl w:val="F3C450C2"/>
    <w:lvl w:ilvl="0" w:tplc="BBBA52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D1703B"/>
    <w:multiLevelType w:val="hybridMultilevel"/>
    <w:tmpl w:val="AF10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35AC2"/>
    <w:multiLevelType w:val="hybridMultilevel"/>
    <w:tmpl w:val="3E5A90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9068322">
    <w:abstractNumId w:val="1"/>
  </w:num>
  <w:num w:numId="2" w16cid:durableId="1627007758">
    <w:abstractNumId w:val="6"/>
  </w:num>
  <w:num w:numId="3" w16cid:durableId="1437284414">
    <w:abstractNumId w:val="0"/>
  </w:num>
  <w:num w:numId="4" w16cid:durableId="1758358956">
    <w:abstractNumId w:val="4"/>
  </w:num>
  <w:num w:numId="5" w16cid:durableId="160245036">
    <w:abstractNumId w:val="5"/>
  </w:num>
  <w:num w:numId="6" w16cid:durableId="1974016031">
    <w:abstractNumId w:val="2"/>
  </w:num>
  <w:num w:numId="7" w16cid:durableId="1435713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AE"/>
    <w:rsid w:val="000200D6"/>
    <w:rsid w:val="0003421B"/>
    <w:rsid w:val="00074EF9"/>
    <w:rsid w:val="000759AB"/>
    <w:rsid w:val="0009094D"/>
    <w:rsid w:val="000F4F07"/>
    <w:rsid w:val="001419A5"/>
    <w:rsid w:val="001511A4"/>
    <w:rsid w:val="0016442A"/>
    <w:rsid w:val="0017665B"/>
    <w:rsid w:val="002513A3"/>
    <w:rsid w:val="00281F01"/>
    <w:rsid w:val="002A6302"/>
    <w:rsid w:val="002C443C"/>
    <w:rsid w:val="0032210B"/>
    <w:rsid w:val="00322836"/>
    <w:rsid w:val="003579A2"/>
    <w:rsid w:val="003635C5"/>
    <w:rsid w:val="003911B4"/>
    <w:rsid w:val="003952B7"/>
    <w:rsid w:val="00397F7D"/>
    <w:rsid w:val="003C71BA"/>
    <w:rsid w:val="0040260D"/>
    <w:rsid w:val="00446FCC"/>
    <w:rsid w:val="00482F58"/>
    <w:rsid w:val="00487947"/>
    <w:rsid w:val="0049366B"/>
    <w:rsid w:val="004A3D44"/>
    <w:rsid w:val="004A41B3"/>
    <w:rsid w:val="004D02AB"/>
    <w:rsid w:val="004D17AF"/>
    <w:rsid w:val="004E3726"/>
    <w:rsid w:val="00517B4B"/>
    <w:rsid w:val="00552985"/>
    <w:rsid w:val="005B6CDB"/>
    <w:rsid w:val="005D18C5"/>
    <w:rsid w:val="00646621"/>
    <w:rsid w:val="0069398F"/>
    <w:rsid w:val="006A2EE4"/>
    <w:rsid w:val="006B6A42"/>
    <w:rsid w:val="006C127A"/>
    <w:rsid w:val="006D4121"/>
    <w:rsid w:val="006E6080"/>
    <w:rsid w:val="00730427"/>
    <w:rsid w:val="00736D14"/>
    <w:rsid w:val="007A2A10"/>
    <w:rsid w:val="00804D53"/>
    <w:rsid w:val="00823407"/>
    <w:rsid w:val="00827606"/>
    <w:rsid w:val="00841712"/>
    <w:rsid w:val="00857E2D"/>
    <w:rsid w:val="008717BD"/>
    <w:rsid w:val="008947EA"/>
    <w:rsid w:val="008C6832"/>
    <w:rsid w:val="00912A2A"/>
    <w:rsid w:val="009321A3"/>
    <w:rsid w:val="0094461B"/>
    <w:rsid w:val="0094758F"/>
    <w:rsid w:val="00972ED7"/>
    <w:rsid w:val="00A623BC"/>
    <w:rsid w:val="00A875D5"/>
    <w:rsid w:val="00AD3D22"/>
    <w:rsid w:val="00B127CC"/>
    <w:rsid w:val="00B24732"/>
    <w:rsid w:val="00B74F8D"/>
    <w:rsid w:val="00B82922"/>
    <w:rsid w:val="00BC50AE"/>
    <w:rsid w:val="00BD72C4"/>
    <w:rsid w:val="00C057DC"/>
    <w:rsid w:val="00C05D66"/>
    <w:rsid w:val="00C131E7"/>
    <w:rsid w:val="00C30395"/>
    <w:rsid w:val="00C35D8A"/>
    <w:rsid w:val="00C376FA"/>
    <w:rsid w:val="00C417EB"/>
    <w:rsid w:val="00C44734"/>
    <w:rsid w:val="00C51F64"/>
    <w:rsid w:val="00C67A62"/>
    <w:rsid w:val="00CA447A"/>
    <w:rsid w:val="00CD3CD0"/>
    <w:rsid w:val="00CD47F5"/>
    <w:rsid w:val="00CD572E"/>
    <w:rsid w:val="00D11186"/>
    <w:rsid w:val="00D406AD"/>
    <w:rsid w:val="00D604D3"/>
    <w:rsid w:val="00D713C1"/>
    <w:rsid w:val="00D755AC"/>
    <w:rsid w:val="00D810CE"/>
    <w:rsid w:val="00DA55E5"/>
    <w:rsid w:val="00DB7F7B"/>
    <w:rsid w:val="00DE2727"/>
    <w:rsid w:val="00DF62A2"/>
    <w:rsid w:val="00E04ED4"/>
    <w:rsid w:val="00E11A4F"/>
    <w:rsid w:val="00E45217"/>
    <w:rsid w:val="00E56DEA"/>
    <w:rsid w:val="00EB60A2"/>
    <w:rsid w:val="00F135D8"/>
    <w:rsid w:val="00F25337"/>
    <w:rsid w:val="00F27C47"/>
    <w:rsid w:val="00F53BF9"/>
    <w:rsid w:val="00FB0212"/>
    <w:rsid w:val="00FE54E7"/>
    <w:rsid w:val="00FF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176D"/>
  <w15:chartTrackingRefBased/>
  <w15:docId w15:val="{B295C01A-7260-40BA-BA37-19CF7BA8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1B3"/>
    <w:rPr>
      <w:color w:val="0000FF"/>
      <w:u w:val="single"/>
    </w:rPr>
  </w:style>
  <w:style w:type="table" w:styleId="TableGrid">
    <w:name w:val="Table Grid"/>
    <w:basedOn w:val="TableNormal"/>
    <w:uiPriority w:val="39"/>
    <w:rsid w:val="005D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712"/>
    <w:pPr>
      <w:ind w:left="720"/>
      <w:contextualSpacing/>
    </w:pPr>
  </w:style>
  <w:style w:type="paragraph" w:customStyle="1" w:styleId="paragraph">
    <w:name w:val="paragraph"/>
    <w:basedOn w:val="Normal"/>
    <w:rsid w:val="003911B4"/>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3911B4"/>
  </w:style>
  <w:style w:type="character" w:customStyle="1" w:styleId="eop">
    <w:name w:val="eop"/>
    <w:basedOn w:val="DefaultParagraphFont"/>
    <w:rsid w:val="003911B4"/>
  </w:style>
  <w:style w:type="character" w:styleId="UnresolvedMention">
    <w:name w:val="Unresolved Mention"/>
    <w:basedOn w:val="DefaultParagraphFont"/>
    <w:uiPriority w:val="99"/>
    <w:semiHidden/>
    <w:unhideWhenUsed/>
    <w:rsid w:val="0040260D"/>
    <w:rPr>
      <w:color w:val="605E5C"/>
      <w:shd w:val="clear" w:color="auto" w:fill="E1DFDD"/>
    </w:rPr>
  </w:style>
  <w:style w:type="character" w:styleId="FollowedHyperlink">
    <w:name w:val="FollowedHyperlink"/>
    <w:basedOn w:val="DefaultParagraphFont"/>
    <w:uiPriority w:val="99"/>
    <w:semiHidden/>
    <w:unhideWhenUsed/>
    <w:rsid w:val="00FF4D7F"/>
    <w:rPr>
      <w:color w:val="954F72" w:themeColor="followedHyperlink"/>
      <w:u w:val="single"/>
    </w:rPr>
  </w:style>
  <w:style w:type="paragraph" w:styleId="Header">
    <w:name w:val="header"/>
    <w:basedOn w:val="Normal"/>
    <w:link w:val="HeaderChar"/>
    <w:uiPriority w:val="99"/>
    <w:unhideWhenUsed/>
    <w:rsid w:val="004D1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AF"/>
  </w:style>
  <w:style w:type="paragraph" w:styleId="Footer">
    <w:name w:val="footer"/>
    <w:basedOn w:val="Normal"/>
    <w:link w:val="FooterChar"/>
    <w:uiPriority w:val="99"/>
    <w:unhideWhenUsed/>
    <w:rsid w:val="004D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AF"/>
  </w:style>
  <w:style w:type="paragraph" w:styleId="Revision">
    <w:name w:val="Revision"/>
    <w:hidden/>
    <w:uiPriority w:val="99"/>
    <w:semiHidden/>
    <w:rsid w:val="00972ED7"/>
    <w:pPr>
      <w:spacing w:after="0" w:line="240" w:lineRule="auto"/>
    </w:pPr>
  </w:style>
  <w:style w:type="character" w:styleId="CommentReference">
    <w:name w:val="annotation reference"/>
    <w:basedOn w:val="DefaultParagraphFont"/>
    <w:uiPriority w:val="99"/>
    <w:semiHidden/>
    <w:unhideWhenUsed/>
    <w:rsid w:val="000F4F07"/>
    <w:rPr>
      <w:sz w:val="16"/>
      <w:szCs w:val="16"/>
    </w:rPr>
  </w:style>
  <w:style w:type="paragraph" w:styleId="CommentText">
    <w:name w:val="annotation text"/>
    <w:basedOn w:val="Normal"/>
    <w:link w:val="CommentTextChar"/>
    <w:uiPriority w:val="99"/>
    <w:semiHidden/>
    <w:unhideWhenUsed/>
    <w:rsid w:val="000F4F07"/>
    <w:pPr>
      <w:spacing w:line="240" w:lineRule="auto"/>
    </w:pPr>
    <w:rPr>
      <w:sz w:val="20"/>
      <w:szCs w:val="20"/>
    </w:rPr>
  </w:style>
  <w:style w:type="character" w:customStyle="1" w:styleId="CommentTextChar">
    <w:name w:val="Comment Text Char"/>
    <w:basedOn w:val="DefaultParagraphFont"/>
    <w:link w:val="CommentText"/>
    <w:uiPriority w:val="99"/>
    <w:semiHidden/>
    <w:rsid w:val="000F4F07"/>
    <w:rPr>
      <w:sz w:val="20"/>
      <w:szCs w:val="20"/>
    </w:rPr>
  </w:style>
  <w:style w:type="paragraph" w:styleId="CommentSubject">
    <w:name w:val="annotation subject"/>
    <w:basedOn w:val="CommentText"/>
    <w:next w:val="CommentText"/>
    <w:link w:val="CommentSubjectChar"/>
    <w:uiPriority w:val="99"/>
    <w:semiHidden/>
    <w:unhideWhenUsed/>
    <w:rsid w:val="000F4F07"/>
    <w:rPr>
      <w:b/>
      <w:bCs/>
    </w:rPr>
  </w:style>
  <w:style w:type="character" w:customStyle="1" w:styleId="CommentSubjectChar">
    <w:name w:val="Comment Subject Char"/>
    <w:basedOn w:val="CommentTextChar"/>
    <w:link w:val="CommentSubject"/>
    <w:uiPriority w:val="99"/>
    <w:semiHidden/>
    <w:rsid w:val="000F4F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2690">
      <w:bodyDiv w:val="1"/>
      <w:marLeft w:val="0"/>
      <w:marRight w:val="0"/>
      <w:marTop w:val="0"/>
      <w:marBottom w:val="0"/>
      <w:divBdr>
        <w:top w:val="none" w:sz="0" w:space="0" w:color="auto"/>
        <w:left w:val="none" w:sz="0" w:space="0" w:color="auto"/>
        <w:bottom w:val="none" w:sz="0" w:space="0" w:color="auto"/>
        <w:right w:val="none" w:sz="0" w:space="0" w:color="auto"/>
      </w:divBdr>
    </w:div>
    <w:div w:id="465633993">
      <w:bodyDiv w:val="1"/>
      <w:marLeft w:val="0"/>
      <w:marRight w:val="0"/>
      <w:marTop w:val="0"/>
      <w:marBottom w:val="0"/>
      <w:divBdr>
        <w:top w:val="none" w:sz="0" w:space="0" w:color="auto"/>
        <w:left w:val="none" w:sz="0" w:space="0" w:color="auto"/>
        <w:bottom w:val="none" w:sz="0" w:space="0" w:color="auto"/>
        <w:right w:val="none" w:sz="0" w:space="0" w:color="auto"/>
      </w:divBdr>
    </w:div>
    <w:div w:id="5195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CCIIO/Programs-and-Initiatives/Other-Insurance-Protections/Prescription-Drug-Data-Coll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5AF2-8EF4-4C1A-A68B-B8A5AFE8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Mateo</dc:creator>
  <cp:keywords/>
  <dc:description/>
  <cp:lastModifiedBy>Deiuliis, Daniel</cp:lastModifiedBy>
  <cp:revision>2</cp:revision>
  <cp:lastPrinted>2022-09-13T15:31:00Z</cp:lastPrinted>
  <dcterms:created xsi:type="dcterms:W3CDTF">2022-11-11T18:32:00Z</dcterms:created>
  <dcterms:modified xsi:type="dcterms:W3CDTF">2022-11-11T18:32:00Z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2022-05-19T17:50:44Z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d89d4539-b981-4cca-ae2f-9f6c0b377a83</vt:lpwstr>
  </property>
  <property fmtid="{D5CDD505-2E9C-101B-9397-08002B2CF9AE}" pid="8" name="MSIP_Label_5e4b1be8-281e-475d-98b0-21c3457e5a46_ContentBits">
    <vt:lpwstr>0</vt:lpwstr>
  </property>
</Properties>
</file>